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EglZuVO (Sachsen) — Untere Eingliederungsbehörden</w:t>
      </w:r>
    </w:p>
    <w:p>
      <w:r>
        <w:rPr>
          <w:color w:val="555555"/>
          <w:sz w:val="18"/>
        </w:rPr>
        <w:t xml:space="preserve">Eingliederungs-Zuständigkeitsverordnung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Landkreise und kreisfreien Städte sind als untere Eingliederungsbehörden neben den bereits durch das Sächsische Spätaussiedlereingliederungsgesetz zugewiesenen Aufgaben zuständig für die Entscheidung und Gewährung von Mitteln des Freistaates Sachsen zur Förderung der Eingliederung der Spätaussiedler.</w:t>
      </w:r>
    </w:p>
    <w:p>
      <w:r>
        <w:rPr>
          <w:color w:val="555555"/>
          <w:sz w:val="17"/>
        </w:rPr>
        <w:t xml:space="preserve">Zitiervorschlag: § 1 EglZuVO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https://recht.nulegal.eu/gesetze/EglZuVO/1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