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EgVG — Inkrafttreten</w:t>
      </w:r>
    </w:p>
    <w:p>
      <w:r>
        <w:rPr>
          <w:color w:val="555555"/>
          <w:sz w:val="18"/>
        </w:rPr>
        <w:t xml:space="preserve">Vorausschätzungsgesetz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4 EgVG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