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EfbV 2017 — Versicherungsschutz</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Der Entsorgungsfachbetrieb muss über einen für seine abfallwirtschaftlichen Tätigkeiten ausreichenden Versicherungsschutz verfügen. Art und Umfang des erforderlichen Versicherungsschutzes sind auf der Grundlage einer betrieblichen Risikoabschätzung zu bestimmen. Der Versicherungsschutz muss Folgendes umfassen:</w:t>
      </w:r>
    </w:p>
    <w:p>
      <w:pPr>
        <w:ind w:left="420"/>
      </w:pPr>
      <w:r>
        <w:t xml:space="preserve">1. bei Betrieben, die Abfälle lagern, behandeln, verwerten oder beseitigen, mit Abfällen handeln oder diese makeln, mindestens eine Betriebshaftpflichtversicherung und, sofern mit der Tätigkeit auch der Besitz dieser Abfälle verbunden ist, eine Umwelthaftpflichtversicherung sowie eine Umweltschadenversicherung,</w:t>
      </w:r>
    </w:p>
    <w:p>
      <w:pPr>
        <w:ind w:left="420"/>
      </w:pPr>
      <w:r>
        <w:t xml:space="preserve">2. bei Betrieben, die Abfälle sammeln oder befördern, mindestens eine Kraftfahrzeug-Haftpflichtversicherung einschließlich einer auf den Sammlungs- und Beförderungsvorgang bezogenen Umwelthaftpflichtversicherung sowie eine Umweltschadenversicherung.</w:t>
      </w:r>
    </w:p>
    <w:p>
      <w:r>
        <w:rPr>
          <w:color w:val="555555"/>
          <w:sz w:val="17"/>
        </w:rPr>
        <w:t xml:space="preserve">Zitiervorschlag: § 6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