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EfbV 2017 — Betriebstagebuch</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Zum Nachweis einer fach- und sachgerechten Durchführung der abfallwirtschaftlichen Tätigkeiten hat der Entsorgungsfachbetrieb für jeden zu zertifizierenden Standort ein Betriebstagebuch zu führen. Das Betriebstagebuch hat alle Informationen zu enthalten, die für den Nachweis einer ordnungsgemäßen Bewirtschaftung der Abfälle wesentlich sind, insbesondere</w:t>
      </w:r>
    </w:p>
    <w:p>
      <w:pPr>
        <w:ind w:left="420"/>
      </w:pPr>
      <w:r>
        <w:t xml:space="preserve">1. Angaben über Art, Menge, Herkunft und Verbleib der vom Entsorgungsfachbetrieb gesammelten, beförderten, gelagerten, behandelten, verwerteten, beseitigten, gehandelten oder gemakelten Abfälle einschließlich einer Dokumentation der erbrachten Leistungen,</w:t>
      </w:r>
    </w:p>
    <w:p>
      <w:pPr>
        <w:ind w:left="420"/>
      </w:pPr>
      <w:r>
        <w:t xml:space="preserve">2. besondere Vorkommnisse, insbesondere Betriebsstörungen, die Auswirkungen auf die ordnungsgemäße Abfallbewirtschaftung haben können, einschließlich der möglichen Ursachen und der zur Abhilfe getroffenen Maßnahmen,</w:t>
      </w:r>
    </w:p>
    <w:p>
      <w:pPr>
        <w:ind w:left="420"/>
      </w:pPr>
      <w:r>
        <w:t xml:space="preserve">3. die Dokumentation einer fehlenden Übereinstimmung des gesammelten, beförderten, gelagerten, behandelten, verwerteten, beseitigten, gehandelten oder gemakelten Abfalls mit den Angaben des Abfallbesitzers oder -erzeugers sowie die Angabe der getroffenen Maßnahmen,</w:t>
      </w:r>
    </w:p>
    <w:p>
      <w:pPr>
        <w:ind w:left="420"/>
      </w:pPr>
      <w:r>
        <w:t xml:space="preserve">4. die Angabe der mit dem Vorgang des Sammelns, Beförderns, Lagerns, Behandelns, Verwertens, Beseitigens, Handelns oder Makelns beauftragten Person sowie im Fall der Beauftragung eines nicht zertifizierten Betriebes gemäß § 7 Absatz 3 die Angabe des jeweiligen Umfangs der Beauftragung und</w:t>
      </w:r>
    </w:p>
    <w:p>
      <w:pPr>
        <w:ind w:left="420"/>
      </w:pPr>
      <w:r>
        <w:t xml:space="preserve">5. bei Anlagen die Ergebnisse von anlagen- und stoffbezogenen Kontrolluntersuchungen einschließlich Funktionskontrollen im Rahmen der Eigen- und Fremdkontrollen.</w:t>
      </w:r>
    </w:p>
    <w:p>
      <w:r>
        <w:t xml:space="preserve">(2) Das Betriebstagebuch kann in Papierform oder elektronisch geführt werden. Wenn für verschiedene Tätigkeitsbereiche oder Betriebsteile Einzelblätter geführt werden, sind diese wöchentlich zusammenzufassen. Das Betriebstagebuch ist dokumentensicher anzulegen und vor unbefugtem Zugriff zu schützen. Es muss jederzeit an dem betroffenen Standort einsehbar sein. Die im Betriebstagebuch enthaltenen Informationen sind nach ihrem Eintrag fünf Jahre lang aufzubewahren. Die in Absatz 1 Satz 2 Nummer 4 genannten personenbezogenen Daten sind nach Ablauf der Frist zu löschen.</w:t>
      </w:r>
    </w:p>
    <w:p>
      <w:r>
        <w:t xml:space="preserve">(3) Das Betriebstagebuch ist von dem Inhaber, soweit er für die Leitung und Beaufsichtigung des Betriebes verantwortlich ist, oder von der für die Leitung und Beaufsichtigung des Betriebes verantwortlichen Person regelmäßig auf Richtigkeit und Vollständigkeit zu überprüfen. Die Überprüfung ist zu dokumentieren.</w:t>
      </w:r>
    </w:p>
    <w:p>
      <w:r>
        <w:rPr>
          <w:color w:val="555555"/>
          <w:sz w:val="17"/>
        </w:rPr>
        <w:t xml:space="preserve">Zitiervorschlag: § 5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