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EfbV 2017 — Übergangsvorschriften</w:t>
      </w:r>
    </w:p>
    <w:p>
      <w:r>
        <w:rPr>
          <w:color w:val="555555"/>
          <w:sz w:val="18"/>
        </w:rPr>
        <w:t xml:space="preserve">Entsorgungsfachbetriebeverordnung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behördliche Anerkennung eines Lehrgangs nach § 9 Absatz 2 Satz 2 Nummer 3 und § 11 Satz 2 der Entsorgungsfachbetriebeverordnung vom 10. September 1996 (BGBl. I S. 1421) in der bis zum 1. Juni 2017 geltenden Fassung gilt als Anerkennung eines Lehrgangs nach § 9 Absatz 1 Satz 2 Nummer 3 und Absatz 3 Satz 2 fort, sofern der Lehrgangsträger die Lehrgangsinhalte an die in der Anlage 1 genannten Inhalte anpasst und bis zum 1. September 2017 der zuständigen Behörde das überarbeitete Lehrgangsprogramm vorlegt.</w:t>
      </w:r>
    </w:p>
    <w:p>
      <w:r>
        <w:t xml:space="preserve">(2) Bis zum 1. Juni 2017 besuchte Lehrgänge nach § 9 Absatz 2 Satz 2 Nummer 3 und § 11 Satz 2 der Entsorgungsfachbetriebeverordnung vom 10. September 1996 (BGBl. I S. 1421) in der bis zum 1. Juni 2017 geltenden Fassung gelten als Lehrgänge im Sinne des § 9 Absatz 1 Satz 2 Nummer 3 und Absatz 3 Satz 2.</w:t>
      </w:r>
    </w:p>
    <w:p>
      <w:r>
        <w:t xml:space="preserve">(3) Die Anforderung nach § 19 Absatz 4 gilt als erfüllt, wenn die oder der Sachverständige bis zum 1. Dezember 2017 eine entsprechende Qualifikation erworben hat.</w:t>
      </w:r>
    </w:p>
    <w:p>
      <w:r>
        <w:t xml:space="preserve">(4) Bis zum 1. Juni 2017 nach § 56 Absatz 3 des Kreislaufwirtschaftsgesetzes erteilte Zertifikate behalten ihre Gültigkeit, auch wenn sie entgegen § 25 nicht den Anforderungen des Vordrucks nach Anlage 3 entsprechen.</w:t>
      </w:r>
    </w:p>
    <w:p>
      <w:r>
        <w:rPr>
          <w:color w:val="555555"/>
          <w:sz w:val="17"/>
        </w:rPr>
        <w:t xml:space="preserve">Zitiervorschlag: § 31 EfbV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https://recht.nulegal.eu/gesetze/EfbV%202017/31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