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EfbV 2017 — Anforderungen an die Betriebsorganisation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Organisation des Entsorgungsfachbetriebes ist so auszugestalten, dass die erforderliche Überwachung und Kontrolle der vom Betrieb durchgeführten abfallwirtschaftlichen Tätigkeiten sichergestellt ist. Bei der Gestaltung der Betriebsorganisation sind insbesondere zu berücksichtigen:</w:t>
      </w:r>
    </w:p>
    <w:p>
      <w:pPr>
        <w:ind w:left="420"/>
      </w:pPr>
      <w:r>
        <w:t xml:space="preserve">1. der Zweck des Betriebes,</w:t>
      </w:r>
    </w:p>
    <w:p>
      <w:pPr>
        <w:ind w:left="420"/>
      </w:pPr>
      <w:r>
        <w:t xml:space="preserve">2. die Tätigkeiten und die Größe des Betriebes,</w:t>
      </w:r>
    </w:p>
    <w:p>
      <w:pPr>
        <w:ind w:left="420"/>
      </w:pPr>
      <w:r>
        <w:t xml:space="preserve">3. die Tätigkeiten der im Betrieb beschäftigten Personen sowie</w:t>
      </w:r>
    </w:p>
    <w:p>
      <w:pPr>
        <w:ind w:left="420"/>
      </w:pPr>
      <w:r>
        <w:t xml:space="preserve">4. die Art, Menge und Herkunft der Abfälle, auf die sich die Tätigkeiten beziehen, insbesondere Gefährlichkeit und Beschaffenheit dieser Abfälle.</w:t>
      </w:r>
    </w:p>
    <w:p>
      <w:r>
        <w:t xml:space="preserve">(2) Für die im Betrieb durchgeführten abfallwirtschaftlichen Tätigkeiten sind die Verantwortung sowie die Entscheidungs- und Mitwirkungsbefugnisse folgender Personen festzulegen:</w:t>
      </w:r>
    </w:p>
    <w:p>
      <w:pPr>
        <w:ind w:left="420"/>
      </w:pPr>
      <w:r>
        <w:t xml:space="preserve">1. des Inhabers,</w:t>
      </w:r>
    </w:p>
    <w:p>
      <w:pPr>
        <w:ind w:left="420"/>
      </w:pPr>
      <w:r>
        <w:t xml:space="preserve">2. der für die Leitung und Beaufsichtigung des Betriebes verantwortlichen Personen,</w:t>
      </w:r>
    </w:p>
    <w:p>
      <w:pPr>
        <w:ind w:left="420"/>
      </w:pPr>
      <w:r>
        <w:t xml:space="preserve">3. des sonstigen Personals sowie</w:t>
      </w:r>
    </w:p>
    <w:p>
      <w:pPr>
        <w:ind w:left="420"/>
      </w:pPr>
      <w:r>
        <w:t xml:space="preserve">4. der Betriebsbeauftragten, die nach Umwelt- oder Gefahrgutvorschriften für den Betrieb zu bestellen sind.</w:t>
      </w:r>
    </w:p>
    <w:p>
      <w:r>
        <w:t xml:space="preserve">Die Festlegungen nach Satz 1 sind schriftlich, elektronisch oder in gleich geeigneter Weise in Form von Funktionsbeschreibungen und Organisationsplänen darzustellen und den betroffenen Mitarbeitern bekannt zu geben.</w:t>
      </w:r>
    </w:p>
    <w:p>
      <w:r>
        <w:t xml:space="preserve">(3) Die Arbeitsabläufe für die im Betrieb durchgeführten abfallwirtschaftlichen Tätigkeiten sind schriftlich, elektronisch oder in gleich geeigneter Weise durch Arbeitsanweisungen festzulegen.</w:t>
      </w:r>
    </w:p>
    <w:p>
      <w:r>
        <w:rPr>
          <w:color w:val="555555"/>
          <w:sz w:val="17"/>
        </w:rPr>
        <w:t xml:space="preserve">Zitiervorschlag: § 3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