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EfbV 2017 — Begriffsbestimmungen</w:t>
      </w:r>
    </w:p>
    <w:p>
      <w:r>
        <w:rPr>
          <w:color w:val="555555"/>
          <w:sz w:val="18"/>
        </w:rPr>
        <w:t xml:space="preserve">Entsorgungsfachbetriebeverordnung</w:t>
      </w:r>
    </w:p>
    <w:p>
      <w:r>
        <w:rPr>
          <w:color w:val="555555"/>
          <w:sz w:val="18"/>
        </w:rPr>
        <w:t xml:space="preserve">Stand: 10.06.2019 (konsolidierte Textfassung, kein amtliches Inkrafttretensdatum)</w:t>
      </w:r>
    </w:p>
    <w:p>
      <w:r>
        <w:t xml:space="preserve">(1) Inhaber im Sinne dieser Verordnung ist diejenige natürliche oder juristische Person oder Personenvereinigung, die den Entsorgungsfachbetrieb betreibt. Sofern es sich bei dem Inhaber um eine juristische Person oder Personenvereinigung handelt, kommt es für die Erfüllung der personenbezogenen Anforderungen dieser Verordnung an den Inhaber auf die nach Gesetz, Satzung oder Gesellschaftsvertrag zur Vertretung oder Geschäftsführung des Betriebes berechtigten Personen an.</w:t>
      </w:r>
    </w:p>
    <w:p>
      <w:r>
        <w:t xml:space="preserve">(2) Für die Leitung und Beaufsichtigung des Betriebes verantwortliche Personen im Sinne dieser Verordnung sind diejenigen natürlichen Personen, die vom Inhaber mit der fachlichen Leitung, Überwachung und Kontrolle der vom Betrieb durchgeführten abfallwirtschaftlichen Tätigkeiten, insbesondere im Hinblick auf die Beachtung der hierfür geltenden Vorschriften und Anordnungen, beauftragt worden sind. Die Beauftragung setzt die Übertragung der für die in Satz 1 beschriebenen Aufgaben erforderlichen Entscheidungs- und Mitwirkungsbefugnisse voraus.</w:t>
      </w:r>
    </w:p>
    <w:p>
      <w:r>
        <w:t xml:space="preserve">(3) Sonstiges Personal im Sinne dieser Verordnung sind diejenigen Arbeitnehmerinnen und Arbeitnehmer und anderen im Betrieb beschäftigten Personen, die bei der Ausführung der abfallwirtschaftlichen Tätigkeiten mitwirken.</w:t>
      </w:r>
    </w:p>
    <w:p>
      <w:r>
        <w:rPr>
          <w:color w:val="555555"/>
          <w:sz w:val="17"/>
        </w:rPr>
        <w:t xml:space="preserve">Zitiervorschlag: § 2 EfbV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https://recht.nulegal.eu/gesetze/EfbV%202017/2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