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EfbV 2017 — Zuverlässigkeit von Sachverständigen</w:t>
      </w:r>
    </w:p>
    <w:p>
      <w:r>
        <w:rPr>
          <w:color w:val="555555"/>
          <w:sz w:val="18"/>
        </w:rPr>
        <w:t xml:space="preserve">Entsorgungsfachbetriebeverordnung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nach § 56 Absatz 7 des Kreislaufwirtschaftsgesetzes erforderliche Zuverlässigkeit ist gegeben, wenn der Sachverständige auf Grund seiner persönlichen Eigenschaften, seines Verhaltens und seiner Fähigkeiten zur ordnungsgemäßen Erfüllung der ihm obliegenden Aufgaben geeignet ist.</w:t>
      </w:r>
    </w:p>
    <w:p>
      <w:r>
        <w:t xml:space="preserve">(2) Die erforderliche Zuverlässigkeit ist in der Regel nicht gegeben, wenn die betroffene Person</w:t>
      </w:r>
    </w:p>
    <w:p>
      <w:pPr>
        <w:ind w:left="420"/>
      </w:pPr>
      <w:r>
        <w:t xml:space="preserve">1. wegen Verletzung der Vorschriften</w:t>
      </w:r>
    </w:p>
    <w:p>
      <w:pPr>
        <w:ind w:left="780"/>
      </w:pPr>
      <w:r>
        <w:t xml:space="preserve">a) des Strafrechts über Eigentums- und Vermögensdelikte, Urkundenfälschung, Insolvenzstraftaten, gemeingefährliche Delikte oder Umweltdelikte,</w:t>
      </w:r>
    </w:p>
    <w:p>
      <w:pPr>
        <w:ind w:left="780"/>
      </w:pPr>
      <w:r>
        <w:t xml:space="preserve">b) des Immissionsschutz-, Abfall-, Wasser-, Natur- und Landschaftsschutz-, Chemikalien-, Gentechnik- oder Atom- und Strahlenschutzrechts,</w:t>
      </w:r>
    </w:p>
    <w:p>
      <w:pPr>
        <w:ind w:left="780"/>
      </w:pPr>
      <w:r>
        <w:t xml:space="preserve">c) des Lebensmittel-, Arzneimittel-, Pflanzenschutz- oder Infektionsschutzrechts,</w:t>
      </w:r>
    </w:p>
    <w:p>
      <w:pPr>
        <w:ind w:left="780"/>
      </w:pPr>
      <w:r>
        <w:t xml:space="preserve">d) des Gewerbe-, Arbeitsschutz- oder Gefahrgutrechts oder</w:t>
      </w:r>
    </w:p>
    <w:p>
      <w:pPr>
        <w:ind w:left="780"/>
      </w:pPr>
      <w:r>
        <w:t xml:space="preserve">e) des Betäubungsmittel-, Waffen- oder Sprengstoffrechts</w:t>
      </w:r>
    </w:p>
    <w:p>
      <w:pPr>
        <w:ind w:left="420"/>
      </w:pPr>
      <w:r>
        <w:t xml:space="preserve">innerhalb der letzten fünf Jahre zu einer Strafe verurteilt oder in den Fällen der Buchstaben b bis e mit einer Geldbuße in Höhe von mehr als fünfhundert Euro belegt worden ist,</w:t>
      </w:r>
    </w:p>
    <w:p>
      <w:pPr>
        <w:ind w:left="420"/>
      </w:pPr>
      <w:r>
        <w:t xml:space="preserve">2. wiederholt oder grob pflichtwidrig</w:t>
      </w:r>
    </w:p>
    <w:p>
      <w:pPr>
        <w:ind w:left="780"/>
      </w:pPr>
      <w:r>
        <w:t xml:space="preserve">a) gegen Vorschriften nach Nummer 1 Buchstabe b bis e verstoßen hat oder</w:t>
      </w:r>
    </w:p>
    <w:p>
      <w:pPr>
        <w:ind w:left="780"/>
      </w:pPr>
      <w:r>
        <w:t xml:space="preserve">b) seine Pflichten als Betriebsbeauftragter für Immissionsschutz, Gewässerschutz oder Abfall, als Strahlenschutzbeauftragter oder als Störfallbeauftragter verletzt hat,</w:t>
      </w:r>
    </w:p>
    <w:p>
      <w:pPr>
        <w:ind w:left="420"/>
      </w:pPr>
      <w:r>
        <w:t xml:space="preserve">3. infolge strafgerichtlicher Verurteilung die Fähigkeit zur Bekleidung öffentlicher Ämter verloren hat,</w:t>
      </w:r>
    </w:p>
    <w:p>
      <w:pPr>
        <w:ind w:left="420"/>
      </w:pPr>
      <w:r>
        <w:t xml:space="preserve">4. sich nicht in geordneten wirtschaftlichen Verhältnissen befindet, es sei denn, dass dadurch die Interessen der Auftraggeber oder anderer Personen nicht gefährdet sind, oder</w:t>
      </w:r>
    </w:p>
    <w:p>
      <w:pPr>
        <w:ind w:left="420"/>
      </w:pPr>
      <w:r>
        <w:t xml:space="preserve">5. aus gesundheitlichen Gründen nicht nur vorübergehend unfähig ist, die Sachverständigentätigkeit ordnungsgemäß auszuüben.</w:t>
      </w:r>
    </w:p>
    <w:p>
      <w:r>
        <w:rPr>
          <w:color w:val="555555"/>
          <w:sz w:val="17"/>
        </w:rPr>
        <w:t xml:space="preserve">Zitiervorschlag: § 17 EfbV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https://recht.nulegal.eu/gesetze/EfbV%202017/17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