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EfbV 2017 — Satzung oder sonstige Regelung der Entsorgergemeinschaft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oder sonstige Regelung der Entsorgergemeinschaft nach § 56 Absatz 6 Satz 3 des Kreislaufwirtschaftsgesetzes bedarf der Schriftform. Sie muss die in § 11 Absatz 1 Satz 2 und Absatz 2 und 3 festgelegten Inhalte entsprechend regeln.</w:t>
      </w:r>
    </w:p>
    <w:p>
      <w:r>
        <w:t xml:space="preserve">(2) In der Satzung oder sonstigen Regelung können weitergehende oder ergänzende Regelungen getroffen werden, soweit diese den Anforderungen des § 56 des Kreislaufwirtschaftsgesetzes und dieser Verordnung nicht widersprechen.</w:t>
      </w:r>
    </w:p>
    <w:p>
      <w:r>
        <w:rPr>
          <w:color w:val="555555"/>
          <w:sz w:val="17"/>
        </w:rPr>
        <w:t xml:space="preserve">Zitiervorschlag: § 13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