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EdlStFAusbV 2025 — Begriffsbestimmungen</w:t>
      </w:r>
    </w:p>
    <w:p>
      <w:r>
        <w:rPr>
          <w:color w:val="555555"/>
          <w:sz w:val="18"/>
        </w:rPr>
        <w:t xml:space="preserve">Edelsteinfasser-Ausbildungsverordnung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Im Sinne dieser Verordnung ist</w:t>
      </w:r>
    </w:p>
    <w:p>
      <w:pPr>
        <w:ind w:left="420"/>
      </w:pPr>
      <w:r>
        <w:t xml:space="preserve">1. Schmuck, aus Metallen bestehende Gegenstände, die zur Verschönerung oder zur Zierde am Körper getragen werden,</w:t>
      </w:r>
    </w:p>
    <w:p>
      <w:pPr>
        <w:ind w:left="420"/>
      </w:pPr>
      <w:r>
        <w:t xml:space="preserve">2. Gerät, Korpusware aus Metallen, die der Verwendung im sakralen oder profanen Bereich dient.</w:t>
      </w:r>
    </w:p>
    <w:p>
      <w:r>
        <w:rPr>
          <w:color w:val="555555"/>
          <w:sz w:val="17"/>
        </w:rPr>
        <w:t xml:space="preserve">Zitiervorschlag: § 3 EdlStFAusbV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https://recht.nulegal.eu/gesetze/EdlStFAusbV%202025/3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