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EdlStFAusbV 2025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„Anfertigen einer Fasserarbeit“    mit 60 Prozent,</w:t>
      </w:r>
    </w:p>
    <w:p>
      <w:r>
        <w:rPr>
          <w:rFonts w:ascii="Courier New" w:hAnsi="Courier New"/>
          <w:sz w:val="17"/>
        </w:rPr>
        <w:t xml:space="preserve">„Technologie“    mit 30 Prozent</w:t>
      </w:r>
    </w:p>
    <w:p>
      <w:pPr>
        <w:ind w:left="420"/>
      </w:pPr>
      <w:r>
        <w:t xml:space="preserve">2.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3. (2) Die Abschlussprüfung ist bestanden, wenn die Prüfungsleistungen – auch unter Berücksichtigung einer mündlichen Ergänzungsprüfung nach § 17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16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