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EdelstGrMstrV — Meisterprüfungsarbeit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zu entwerfen und anzufertigen:</w:t>
      </w:r>
    </w:p>
    <w:p>
      <w:pPr>
        <w:ind w:left="420"/>
      </w:pPr>
      <w:r>
        <w:t xml:space="preserve">1. eine Kamee in Flach- oder Hochrelieftechnik,</w:t>
      </w:r>
    </w:p>
    <w:p>
      <w:pPr>
        <w:ind w:left="420"/>
      </w:pPr>
      <w:r>
        <w:t xml:space="preserve">2. eine vertieft geschnittene Darstellung zum Lesen und Siegeln,</w:t>
      </w:r>
    </w:p>
    <w:p>
      <w:pPr>
        <w:ind w:left="420"/>
      </w:pPr>
      <w:r>
        <w:t xml:space="preserve">3. eine Skulptur,</w:t>
      </w:r>
    </w:p>
    <w:p>
      <w:pPr>
        <w:ind w:left="420"/>
      </w:pPr>
      <w:r>
        <w:t xml:space="preserve">4. ein Schildhalterwappen,</w:t>
      </w:r>
    </w:p>
    <w:p>
      <w:pPr>
        <w:ind w:left="420"/>
      </w:pPr>
      <w:r>
        <w:t xml:space="preserve">5. eine Schale im Relief- oder vertieften Schnitt.</w:t>
      </w:r>
    </w:p>
    <w:p>
      <w:r>
        <w:t xml:space="preserve">(2) Der Prüfling hat vor Anfertigung der Meisterprüfungsarbeit dem Meisterprüfungsausschuß eine Entwurfsskizze mit Hauptabmessungen, ein Modell, die dazugehörige Werkzeichnung, die kolorierte Zeichnung und die Kalkulation zur Genehmigung vorzulegen.</w:t>
      </w:r>
    </w:p>
    <w:p>
      <w:r>
        <w:t xml:space="preserve">(3) Die Werkzeichnung, die kolorierte Zeichnung, die Kalkulation sowie der Arbeitsbericht sind bei der Bewertung der Meisterprüfungsarbeit zu berücksichtigen.</w:t>
      </w:r>
    </w:p>
    <w:p>
      <w:r>
        <w:rPr>
          <w:color w:val="555555"/>
          <w:sz w:val="17"/>
        </w:rPr>
        <w:t xml:space="preserve">Zitiervorschlag: § 3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