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EdSchleifAusbV — Ziel und Zeitpunkt</w:t>
      </w:r>
    </w:p>
    <w:p>
      <w:r>
        <w:rPr>
          <w:color w:val="555555"/>
          <w:sz w:val="18"/>
        </w:rPr>
        <w:t xml:space="preserve">Edelsteinschleiferausbildungsverordnung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Abschluss- oder Gesellenprüfung ist festzustellen, ob der Prüfling die berufliche Handlungsfähigkeit erworben hat.</w:t>
      </w:r>
    </w:p>
    <w:p>
      <w:r>
        <w:t xml:space="preserve">(2) Die Abschluss- oder Gesellenprüfung soll am Ende der Berufsausbildung durchgeführt werden.</w:t>
      </w:r>
    </w:p>
    <w:p>
      <w:r>
        <w:rPr>
          <w:color w:val="555555"/>
          <w:sz w:val="17"/>
        </w:rPr>
        <w:t xml:space="preserve">Zitiervorschlag: § 9 EdSchleifAusbV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https://recht.nulegal.eu/gesetze/EdSchleifAusbV/9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