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EdSchleifAusbV — Inhalt</w:t>
      </w:r>
    </w:p>
    <w:p>
      <w:r>
        <w:rPr>
          <w:color w:val="555555"/>
          <w:sz w:val="18"/>
        </w:rPr>
        <w:t xml:space="preserve">Edelsteinschleiferausbildungsverordnung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Zwischenprüfung erstreckt sich auf</w:t>
      </w:r>
    </w:p>
    <w:p>
      <w:pPr>
        <w:ind w:left="420"/>
      </w:pPr>
      <w:r>
        <w:t xml:space="preserve">1. die im Ausbildungsrahmenplan für die ersten 18 Monate genannten Fertigkeiten, Kenntnisse und Fähigkeiten sowie</w:t>
      </w:r>
    </w:p>
    <w:p>
      <w:pPr>
        <w:ind w:left="420"/>
      </w:pPr>
      <w:r>
        <w:t xml:space="preserve">2. den im Berufsschulunterricht zu vermittelnden Lehrstoff, soweit er den im Ausbildungsrahmenplan genannten Fertigkeiten, Kenntnissen und Fähigkeiten entspricht.</w:t>
      </w:r>
    </w:p>
    <w:p>
      <w:r>
        <w:rPr>
          <w:color w:val="555555"/>
          <w:sz w:val="17"/>
        </w:rPr>
        <w:t xml:space="preserve">Zitiervorschlag: § 7 EdSchleifAusbV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https://recht.nulegal.eu/gesetze/EdSchleifAusbV/7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