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EdSchleifAusbV — Gewichtung der Prüfungsbereiche und Anforderungen für das Bestehen der Abschluss- oder Gesellenprüfung</w:t>
      </w:r>
    </w:p>
    <w:p>
      <w:r>
        <w:rPr>
          <w:color w:val="555555"/>
          <w:sz w:val="18"/>
        </w:rPr>
        <w:t xml:space="preserve">Edelsteinschleiferausbildungsverordnung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Schmuckdiamanten schleifen mit    60 Prozent,</w:t>
      </w:r>
    </w:p>
    <w:p>
      <w:r>
        <w:rPr>
          <w:rFonts w:ascii="Courier New" w:hAnsi="Courier New"/>
          <w:sz w:val="17"/>
        </w:rPr>
        <w:t xml:space="preserve">Fertigungsplanung mit    30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3. (2) Die Abschluss- oder Gesellenprüfung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zwei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„Fertigungsplanung“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Abschluss- oder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30 EdSchleifAusbV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https://recht.nulegal.eu/gesetze/EdSchleifAusbV/30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EdSchleifAusbV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