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EdSchleifAusbV — Gewichtung der Prüfungsbereiche und Anforderungen für das Bestehen der Abschluss- oder Gesellenprüfung</w:t>
      </w:r>
    </w:p>
    <w:p>
      <w:r>
        <w:rPr>
          <w:color w:val="555555"/>
          <w:sz w:val="18"/>
        </w:rPr>
        <w:t xml:space="preserve">Edelsteinschleiferausbildungsverordnung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Edelsteine schleifen mit    60 Prozent,</w:t>
      </w:r>
    </w:p>
    <w:p>
      <w:r>
        <w:rPr>
          <w:rFonts w:ascii="Courier New" w:hAnsi="Courier New"/>
          <w:sz w:val="17"/>
        </w:rPr>
        <w:t xml:space="preserve">Fertigungsplanung mit    30 Prozent sowie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3. (2) Die Abschluss- oder Gesellenprüfung ist bestanden, wenn die Prüfungsleistungen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zwei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(3) Auf Antrag des Prüflings ist die Prüfung in einem der Prüfungsbereiche „Fertigungsplanung“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Abschluss- oder Gesellenprüfung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20 EdSchleifAusbV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https://recht.nulegal.eu/gesetze/EdSchleifAusbV/20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EdSchleifAusbV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