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2a EZulV 1976 — Teilzeitbeschäftigung</w:t>
      </w:r>
    </w:p>
    <w:p>
      <w:r>
        <w:rPr>
          <w:color w:val="555555"/>
          <w:sz w:val="18"/>
        </w:rPr>
        <w:t xml:space="preserve">Erschwerniszulagenverordnung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Teilzeitbeschäftigung verringern sich die in § 3 Absatz 1 und 3 Satz 2 sowie die in § 17a Satz 1 Nummer 2 genannten Mindeststundenzahlen entsprechend dem Verhältnis zwischen der ermäßigten und der regelmäßigen wöchentlichen Arbeitszeit. Die Zulagen nach den Abschnitten 2 und 3 werden nicht gekürzt. Für die Zulagen nach Abschnitt 4 gilt § 6 Absatz 1 des Bundesbesoldungsgesetzes.</w:t>
      </w:r>
    </w:p>
    <w:p>
      <w:r>
        <w:rPr>
          <w:color w:val="555555"/>
          <w:sz w:val="17"/>
        </w:rPr>
        <w:t xml:space="preserve">Zitiervorschlag: § 2a EZulV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https://recht.nulegal.eu/gesetze/EZulV%201976/2a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