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EZulV 1976 — Entstehen des Anspruchs</w:t>
      </w:r>
    </w:p>
    <w:p>
      <w:r>
        <w:rPr>
          <w:color w:val="555555"/>
          <w:sz w:val="18"/>
        </w:rPr>
        <w:t xml:space="preserve">Erschwerniszulagenverordnung</w:t>
      </w:r>
    </w:p>
    <w:p>
      <w:r>
        <w:rPr>
          <w:color w:val="555555"/>
          <w:sz w:val="18"/>
        </w:rPr>
        <w:t xml:space="preserve">Stand: 10.06.2019 (konsolidierte Textfassung, kein amtliches Inkrafttretensdatum)</w:t>
      </w:r>
    </w:p>
    <w:p>
      <w:r>
        <w:t xml:space="preserve">(1) Der Anspruch auf die Zulage entsteht mit der tatsächlichen Aufnahme der zulageberechtigenden Tätigkeit und erlischt mit deren Beendigung, soweit in den Vorschriften dieses Abschnitts nichts anderes bestimmt ist.</w:t>
      </w:r>
    </w:p>
    <w:p>
      <w:r>
        <w:t xml:space="preserve">(2) Besteht der Anspruch auf die Zulage nicht für einen vollen Kalendermonat und sieht die Zulageregelung eine tageweise Abgeltung nicht vor, wird nur der Teil der Zulage gezahlt, der auf den Anspruchszeitraum entfällt.</w:t>
      </w:r>
    </w:p>
    <w:p>
      <w:r>
        <w:rPr>
          <w:color w:val="555555"/>
          <w:sz w:val="17"/>
        </w:rPr>
        <w:t xml:space="preserve">Zitiervorschlag: § 18 EZulV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https://recht.nulegal.eu/gesetze/EZulV%201976/18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EZulV 1976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