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17c EZulV 1976 — Ausschluss der Zulage</w:t>
      </w:r>
    </w:p>
    <w:p>
      <w:r>
        <w:rPr>
          <w:color w:val="555555"/>
          <w:sz w:val="18"/>
        </w:rPr>
        <w:t xml:space="preserve">Erschwerniszulagenverordnung</w:t>
      </w:r>
    </w:p>
    <w:p>
      <w:r>
        <w:rPr>
          <w:color w:val="555555"/>
          <w:sz w:val="18"/>
        </w:rPr>
        <w:t xml:space="preserve">Stand: 18.01.2020 (konsolidierte Textfassung, kein amtliches Inkrafttretensdatum)</w:t>
      </w:r>
    </w:p>
    <w:p>
      <w:r>
        <w:t xml:space="preserve">Die Zulage wird nicht gewährt</w:t>
      </w:r>
    </w:p>
    <w:p>
      <w:pPr>
        <w:ind w:left="420"/>
      </w:pPr>
      <w:r>
        <w:t xml:space="preserve">1. in den Fällen des § 30c Absatz 4 des Soldatengesetzes,</w:t>
      </w:r>
    </w:p>
    <w:p>
      <w:pPr>
        <w:ind w:left="420"/>
      </w:pPr>
      <w:r>
        <w:t xml:space="preserve">2. soweit nicht zwischen Volldienst und Bereitschaftsdienst unterschieden wird,</w:t>
      </w:r>
    </w:p>
    <w:p>
      <w:pPr>
        <w:ind w:left="420"/>
      </w:pPr>
      <w:r>
        <w:t xml:space="preserve">3. folgenden Besoldungsempfängern:</w:t>
      </w:r>
    </w:p>
    <w:p>
      <w:pPr>
        <w:ind w:left="780"/>
      </w:pPr>
      <w:r>
        <w:t xml:space="preserve">a) Beamten, die als Pförtner oder Wächter tätig sind,</w:t>
      </w:r>
    </w:p>
    <w:p>
      <w:pPr>
        <w:ind w:left="780"/>
      </w:pPr>
      <w:r>
        <w:t xml:space="preserve">b) Soldaten, die Wachdienst oder Sonderdienste im Innendienst leisten,</w:t>
      </w:r>
    </w:p>
    <w:p>
      <w:pPr>
        <w:ind w:left="780"/>
      </w:pPr>
      <w:r>
        <w:t xml:space="preserve">c) Beamten und Soldaten, die</w:t>
      </w:r>
    </w:p>
    <w:p>
      <w:pPr>
        <w:ind w:left="1140"/>
      </w:pPr>
      <w:r>
        <w:t xml:space="preserve">aa) Zulagen nach § 22, §§ 23m, 23o oder § 23p erhalten oder</w:t>
      </w:r>
    </w:p>
    <w:p>
      <w:pPr>
        <w:ind w:left="1140"/>
      </w:pPr>
      <w:r>
        <w:t xml:space="preserve">bb) Auslandsdienstbezüge oder einen Auslandsverwendungszuschlag nach dem 5. Abschnitt des Bundesbesoldungsgesetzes erhalten,</w:t>
      </w:r>
    </w:p>
    <w:p>
      <w:pPr>
        <w:ind w:left="780"/>
      </w:pPr>
      <w:r>
        <w:t xml:space="preserve">d) Beamten und Soldaten, die auf Schiffen und schwimmenden Geräten tätig sind, wenn die durch diese Tätigkeit bedingte besondere Dienstplangestaltung bereits anderweitig berücksichtigt ist.</w:t>
      </w:r>
    </w:p>
    <w:p>
      <w:r>
        <w:t xml:space="preserve">Satz 1 Nummer 2 Buchstabe a gilt nicht für Beamte im Sicherungsdienst des Bundeskriminalamtes.</w:t>
      </w:r>
    </w:p>
    <w:p>
      <w:r>
        <w:rPr>
          <w:color w:val="555555"/>
          <w:sz w:val="17"/>
        </w:rPr>
        <w:t xml:space="preserve">Zitiervorschlag: § 17c EZulV 1976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https://recht.nulegal.eu/gesetze/EZulV%201976/17c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