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EZV (Brandenburg)</w:t>
      </w:r>
    </w:p>
    <w:p>
      <w:r>
        <w:rPr>
          <w:color w:val="555555"/>
          <w:sz w:val="18"/>
        </w:rPr>
        <w:t xml:space="preserve">Eisenbahnzuständigkeitsverordnung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 Gleichzeitig tritt die Anhörungsbehördenverordnung Eisenbahn</w:t>
      </w:r>
    </w:p>
    <w:p>
      <w:r>
        <w:t xml:space="preserve">vom 26. Januar 1993 (GVBl. II S. 18) außer Kraft.</w:t>
      </w:r>
    </w:p>
    <w:p>
      <w:r>
        <w:t xml:space="preserve">Potsdam, den 19. August 1998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Stadtentwicklung,</w:t>
      </w:r>
    </w:p>
    <w:p>
      <w:r>
        <w:t xml:space="preserve">Wohnen und Verkehr</w:t>
      </w:r>
    </w:p>
    <w:p>
      <w:r>
        <w:t xml:space="preserve">Hartmut Meyer</w:t>
      </w:r>
    </w:p>
    <w:p>
      <w:r>
        <w:rPr>
          <w:color w:val="555555"/>
          <w:sz w:val="17"/>
        </w:rPr>
        <w:t xml:space="preserve">Zitiervorschlag: § 6 EZV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