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EZV (Brandenburg)</w:t>
      </w:r>
    </w:p>
    <w:p>
      <w:r>
        <w:rPr>
          <w:color w:val="555555"/>
          <w:sz w:val="18"/>
        </w:rPr>
        <w:t xml:space="preserve">Eisenbahnzuständigkeitsverordnung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Das Landesamt für Verkehr und Straßenbau ist</w:t>
      </w:r>
    </w:p>
    <w:p>
      <w:r>
        <w:t xml:space="preserve">zuständige Behörde für die pauschale Festlegung von</w:t>
      </w:r>
    </w:p>
    <w:p>
      <w:r>
        <w:t xml:space="preserve">Kostensätzen je Personen-Kilometer gemäß § 6a Abs. 2 des</w:t>
      </w:r>
    </w:p>
    <w:p>
      <w:r>
        <w:t xml:space="preserve">Allgemeinen Eisenbahngesetzes vom 29. März 1951.</w:t>
      </w:r>
    </w:p>
    <w:p>
      <w:r>
        <w:rPr>
          <w:color w:val="555555"/>
          <w:sz w:val="17"/>
        </w:rPr>
        <w:t xml:space="preserve">Zitiervorschlag: § 5 EZV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https://recht.nulegal.eu/gesetze/EZV/5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