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EZV (Brandenburg)</w:t>
      </w:r>
    </w:p>
    <w:p>
      <w:r>
        <w:rPr>
          <w:color w:val="555555"/>
          <w:sz w:val="18"/>
        </w:rPr>
        <w:t xml:space="preserve">Eisenbahnzuständigkeitsverordnung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Verkehr und Straßenbau ist</w:t>
      </w:r>
    </w:p>
    <w:p>
      <w:r>
        <w:t xml:space="preserve">gemäß § 11 Abs. 2 des Allgemeinen Eisenbahngesetzes</w:t>
      </w:r>
    </w:p>
    <w:p>
      <w:r>
        <w:t xml:space="preserve">zuständige Behörde für die Herstellung des Benehmens seitens des</w:t>
      </w:r>
    </w:p>
    <w:p>
      <w:r>
        <w:t xml:space="preserve">Eisenbahn-Bundesamtes bei der Stillegung von</w:t>
      </w:r>
    </w:p>
    <w:p>
      <w:r>
        <w:t xml:space="preserve">Eisenbahninfrastruktureinrichtungen im Bereich der Eisenbahnen des Bundes.</w:t>
      </w:r>
    </w:p>
    <w:p>
      <w:r>
        <w:rPr>
          <w:color w:val="555555"/>
          <w:sz w:val="17"/>
        </w:rPr>
        <w:t xml:space="preserve">Zitiervorschlag: § 4 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