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gemäß § 5 Abs. 3 Satz 2 Nr. 1 des Allgemeinen Eisenbahngesetzes</w:t>
      </w:r>
    </w:p>
    <w:p>
      <w:r>
        <w:t xml:space="preserve">zuständige Behörde für die Aufsicht über Eisenbahnen des</w:t>
      </w:r>
    </w:p>
    <w:p>
      <w:r>
        <w:t xml:space="preserve">Bundes sowie über nichtbundeseigene Eisenbahnen mit Sitz im Ausland,</w:t>
      </w:r>
    </w:p>
    <w:p>
      <w:r>
        <w:t xml:space="preserve">soweit es sich um die Genehmigung und Einhaltung von Tarifen im</w:t>
      </w:r>
    </w:p>
    <w:p>
      <w:r>
        <w:t xml:space="preserve">Schienenpersonennahverkehr dieser Eisenbahnen auf dem Gebiet der Bundesrepublik</w:t>
      </w:r>
    </w:p>
    <w:p>
      <w:r>
        <w:t xml:space="preserve">Deutschland handelt.</w:t>
      </w:r>
    </w:p>
    <w:p>
      <w:r>
        <w:rPr>
          <w:color w:val="555555"/>
          <w:sz w:val="17"/>
        </w:rPr>
        <w:t xml:space="preserve">Zitiervorschlag: § 3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