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EZV (Brandenburg)</w:t>
      </w:r>
    </w:p>
    <w:p>
      <w:r>
        <w:rPr>
          <w:color w:val="555555"/>
          <w:sz w:val="18"/>
        </w:rPr>
        <w:t xml:space="preserve">Eisenbahnzuständigkeitsverordnung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Verkehr und Straßenbau ist</w:t>
      </w:r>
    </w:p>
    <w:p>
      <w:r>
        <w:t xml:space="preserve">gemäß § 5 Abs. 3 Satz 1 des Allgemeinen Eisenbahngesetzes</w:t>
      </w:r>
    </w:p>
    <w:p>
      <w:r>
        <w:t xml:space="preserve">zuständige Behörde für</w:t>
      </w:r>
    </w:p>
    <w:p>
      <w:r>
        <w:t xml:space="preserve">die Genehmigung nichtbundeseigener Eisenbahnen nach § 6 des</w:t>
      </w:r>
    </w:p>
    <w:p>
      <w:r>
        <w:t xml:space="preserve">Allgemeinen Eisenbahngesetzes,</w:t>
      </w:r>
    </w:p>
    <w:p>
      <w:r>
        <w:t xml:space="preserve">das Anhörungs- sowie Planfeststellungsverfahren für Schienenwege</w:t>
      </w:r>
    </w:p>
    <w:p>
      <w:r>
        <w:t xml:space="preserve">nichtbundeseigener Eisenbahnen nach den §§ 18 und 20 des Allgemeinen</w:t>
      </w:r>
    </w:p>
    <w:p>
      <w:r>
        <w:t xml:space="preserve">Eisenbahngesetzes und</w:t>
      </w:r>
    </w:p>
    <w:p>
      <w:r>
        <w:t xml:space="preserve">die Aufsicht über nichtbundeseigene Eisenbahnen, soweit es sich um die</w:t>
      </w:r>
    </w:p>
    <w:p>
      <w:r>
        <w:t xml:space="preserve">Genehmigung und Einhaltung von Tarifen im Schienenpersonennahverkehr dieser</w:t>
      </w:r>
    </w:p>
    <w:p>
      <w:r>
        <w:t xml:space="preserve">Eisenbahnen handelt.</w:t>
      </w:r>
    </w:p>
    <w:p>
      <w:r>
        <w:rPr>
          <w:color w:val="555555"/>
          <w:sz w:val="17"/>
        </w:rPr>
        <w:t xml:space="preserve">Zitiervorschlag: § 2 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