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EZV (Brandenburg)</w:t>
      </w:r>
    </w:p>
    <w:p>
      <w:r>
        <w:rPr>
          <w:color w:val="555555"/>
          <w:sz w:val="18"/>
        </w:rPr>
        <w:t xml:space="preserve">Eisenbahnzuständigkeitsverordnung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Verkehr und Straßenbau ist</w:t>
      </w:r>
    </w:p>
    <w:p>
      <w:r>
        <w:t xml:space="preserve">gemäß § 3 Abs. 3 des Gesetzes über die</w:t>
      </w:r>
    </w:p>
    <w:p>
      <w:r>
        <w:t xml:space="preserve">Eisenbahnverkehrsverwaltung des Bundes zuständige Behörde für</w:t>
      </w:r>
    </w:p>
    <w:p>
      <w:r>
        <w:t xml:space="preserve">die Durchführung des Anhörungsverfahrens im</w:t>
      </w:r>
    </w:p>
    <w:p>
      <w:r>
        <w:t xml:space="preserve">Planfeststellungsverfahren für Schienenwege von Eisenbahnen des Bundes</w:t>
      </w:r>
    </w:p>
    <w:p>
      <w:r>
        <w:t xml:space="preserve">nach den §§ 18 und 20 des Allgemeinen Eisenbahngesetzes.</w:t>
      </w:r>
    </w:p>
    <w:p>
      <w:r>
        <w:rPr>
          <w:color w:val="555555"/>
          <w:sz w:val="17"/>
        </w:rPr>
        <w:t xml:space="preserve">Zitiervorschlag: § 1 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