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EZBAbkG</w:t>
      </w:r>
    </w:p>
    <w:p>
      <w:r>
        <w:rPr>
          <w:color w:val="555555"/>
          <w:sz w:val="18"/>
        </w:rPr>
        <w:t xml:space="preserve">Gesetz zu dem Abkommen vom 18. September 1998 zwischen der Regierung der Bundesrepublik Deutschland und der Europäischen Zentralbank über den Sitz der Europäischen Zentralbank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Europäische Zentralbank nimmt als Wertpapiersammelbank am Geschäftsverkehr der Wertpapiersammelbanken teil.</w:t>
      </w:r>
    </w:p>
    <w:p>
      <w:r>
        <w:t xml:space="preserve">(2) Für die von der Europäischen Zentralbank emittierten und in ihrem elektronisch geführten Schuldbuch eingetragenen Schuldtitel gelten, soweit nichts anderes vereinbart ist, die auf vergleichbare Schuldtitel des Bundes anwendbaren Vorschriften.</w:t>
      </w:r>
    </w:p>
    <w:p>
      <w:r>
        <w:rPr>
          <w:color w:val="555555"/>
          <w:sz w:val="17"/>
        </w:rPr>
        <w:t xml:space="preserve">Zitiervorschlag: Art 2 EZBAbkG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https://recht.nulegal.eu/gesetze/EZBAbkG/2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