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EWRAbkAV</w:t>
      </w:r>
    </w:p>
    <w:p>
      <w:r>
        <w:rPr>
          <w:color w:val="555555"/>
          <w:sz w:val="18"/>
        </w:rPr>
        <w:t xml:space="preserve">Verordnung zur Ausführung des Abkommens vom 2. Mai 1992 über den Europäischen Wirtschaftsraum für die Anwendung von Vorschriften des Gesetzes über das Kreditwesen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24a Abs. 1 bis 3 des Gesetzes über das Kreditwesen gilt entsprechend für die Errichtung einer Zweigstelle in der Republik Island oder im Königreich Norwegen.</w:t>
      </w:r>
    </w:p>
    <w:p>
      <w:r>
        <w:rPr>
          <w:color w:val="555555"/>
          <w:sz w:val="17"/>
        </w:rPr>
        <w:t xml:space="preserve">Zitiervorschlag: § 1 EWRAbkAV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https://recht.nulegal.eu/gesetze/EWRAbkAV/1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