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117 EWRAbkAG — Inkrafttreten</w:t>
      </w:r>
    </w:p>
    <w:p>
      <w:r>
        <w:rPr>
          <w:color w:val="555555"/>
          <w:sz w:val="18"/>
        </w:rPr>
        <w:t xml:space="preserve">EWR-Ausführungsgesetz</w:t>
      </w:r>
    </w:p>
    <w:p>
      <w:r>
        <w:rPr>
          <w:color w:val="555555"/>
          <w:sz w:val="18"/>
        </w:rPr>
        <w:t xml:space="preserve">Stand: 10.06.2019 (konsolidierte Textfassung, kein amtliches Inkrafttretensdatum)</w:t>
      </w:r>
    </w:p>
    <w:p>
      <w:r>
        <w:t xml:space="preserve">Dieses Gesetz tritt an dem Tage in Kraft, an dem das Abkommen über den Europäischen Wirtschaftsraum für die Bundesrepublik Deutschland in Kraft tritt. Der Tag des Inkrafttretens des Gesetzes wird im Bundesgesetzblatt bekanntgegeben.</w:t>
      </w:r>
    </w:p>
    <w:p>
      <w:r>
        <w:rPr>
          <w:color w:val="555555"/>
          <w:sz w:val="17"/>
        </w:rPr>
        <w:t xml:space="preserve">Zitiervorschlag: Art 117 EWRAbkAG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https://recht.nulegal.eu/gesetze/EWRAbkAG/117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117 EWRAbkAG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