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114 EWRAbkAG — Rückkehr zum einheitlichen Verordnungsrang</w:t>
      </w:r>
    </w:p>
    <w:p>
      <w:r>
        <w:rPr>
          <w:color w:val="555555"/>
          <w:sz w:val="18"/>
        </w:rPr>
        <w:t xml:space="preserve">EWR-Ausführungsgesetz</w:t>
      </w:r>
    </w:p>
    <w:p>
      <w:r>
        <w:rPr>
          <w:color w:val="555555"/>
          <w:sz w:val="18"/>
        </w:rPr>
        <w:t xml:space="preserve">Stand: 10.06.2019 (konsolidierte Textfassung, kein amtliches Inkrafttretensdatum)</w:t>
      </w:r>
    </w:p>
    <w:p>
      <w:r>
        <w:t xml:space="preserve">Die auf Artikeln 3, 5, 6, 9, 11, 12, 15, 16, 17, 19 bis 32, 38, 42, 48, 54 bis 56, 58, 60 bis 64, 70, 71, 73, 74, 77, 79, 82, 84, 85, 87 bis 93, 95 bis 100, 102, 103, 107 bis 113 beruhenden Teile der dort geänderten Rechtsverordnungen können auf Grund der jeweils einschlägigen Ermächtigung durch Rechtsverordnung geändert werden.</w:t>
      </w:r>
    </w:p>
    <w:p>
      <w:r>
        <w:rPr>
          <w:color w:val="555555"/>
          <w:sz w:val="17"/>
        </w:rPr>
        <w:t xml:space="preserve">Zitiervorschlag: Art 114 EWRAbkAG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https://recht.nulegal.eu/gesetze/EWRAbkAG/114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