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EWPBG — Differenzbetrag</w:t>
      </w:r>
    </w:p>
    <w:p>
      <w:r>
        <w:rPr>
          <w:color w:val="555555"/>
          <w:sz w:val="18"/>
        </w:rPr>
        <w:t xml:space="preserve">Erdgas-Wärme-Preisbremsengesetz</w:t>
      </w:r>
    </w:p>
    <w:p>
      <w:r>
        <w:rPr>
          <w:color w:val="555555"/>
          <w:sz w:val="18"/>
        </w:rPr>
        <w:t xml:space="preserve">Stand: 24.12.2025 (konsolidierte Textfassung, kein amtliches Inkrafttretensdatum)</w:t>
      </w:r>
    </w:p>
    <w:p>
      <w:r>
        <w:t xml:space="preserve">(1) Der Differenzbetrag ist die zentrale Stellgröße, um Letztverbraucher vor steigenden Energiekosten zu schützen. Die Berechnung des Differenzbetrags gemäß der Absätze 2 bis 4 bezweckt, Letztverbraucher vor steigenden Energiekosten zu schützen, einen wirksamen Wettbewerb zwischen Anbietern zu gewährleisten, insbesondere dass die Kunden einen Anreiz haben, Anbieter mit wettbewerbsfähigen Preisen zu wählen, und einen Missbrauch der Entlastungsregelung zu verhindern.</w:t>
      </w:r>
    </w:p>
    <w:p>
      <w:r>
        <w:t xml:space="preserve">(2) Der Differenzbetrag ergibt sich für einen Kalendermonat aus der Differenz zwischen dem für die Belieferung der Entnahmestelle für den ersten Tag des Kalendermonats vereinbarten Arbeitspreis und dem Referenzpreis nach Absatz 3. Der Differenzbetrag nach Satz 1 beträgt null, sofern der Referenzpreis nach Absatz 3 den Arbeitspreis nach Satz 1 übersteigt. Der Differenzbetrag nach Satz 1 ergibt sich bei Tarifen mit zeitvariablen Arbeitspreisen aus der Differenz des für die Belieferung der Entnahmestelle mit der zeitlichen Gültigkeit der einzelnen vereinbarten Arbeitspreise gewichteten durchschnittlichen Arbeitspreises für den gesamten Kalendermonat und dem Referenzpreis nach Absatz 3. Wenn der gewichtete durchschnittliche Arbeitspreis nach Satz 3 am ersten Tag eines Kalendermonats für den gesamten Kalendermonat nicht ermittelt werden kann, ist für die Bestimmung des gewichteten durchschnittlichen Arbeitspreises auf den mit der zeitlichen Gültigkeit der einzelnen vereinbarten Arbeitspreise gewichteten durchschnittlichen Arbeitspreis des Vormonats abzustellen. Erfolgt eine Abrechnung erst nach Ablauf des Monats, ist für die Bestimmung des gewichteten durchschnittlichen Arbeitspreises eines Monats abweichend von Satz 4 auf den mit der zeitlichen Gültigkeit der einzelnen vereinbarten Arbeitspreise gewichteten durchschnittlichen Arbeitspreis des Liefermonats abzustellen.</w:t>
      </w:r>
    </w:p>
    <w:p>
      <w:r>
        <w:t xml:space="preserve">(3) Der Referenzpreis für leitungsgebundenes Erdgas beträgt für Entnahmestellen von Letztverbrauchern,</w:t>
      </w:r>
    </w:p>
    <w:p>
      <w:pPr>
        <w:ind w:left="420"/>
      </w:pPr>
      <w:r>
        <w:t xml:space="preserve">1. die einen Anspruch nach § 3 haben, 12 Cent pro Kilowattstunde einschließlich Netzentgelten, Messstellenentgelten und staatlich veranlassten Preisbestandteilen einschließlich der Umsatzsteuer;</w:t>
      </w:r>
    </w:p>
    <w:p>
      <w:pPr>
        <w:ind w:left="420"/>
      </w:pPr>
      <w:r>
        <w:t xml:space="preserve">2. die einen Anspruch nach § 6 oder § 7 Absatz 2 haben, 7 Cent pro Kilowattstunde vor Netzentgelten, Messstellenentgelten und staatlich veranlassten Preisbestandteilen einschließlich der Umsatzsteuer.</w:t>
      </w:r>
    </w:p>
    <w:p>
      <w:r>
        <w:t xml:space="preserve">(4) Für jeden Letztverbraucher, der einen Entlastungsanspruch nach § 3 Absatz 1 hat, dessen Netzentgelte oder Messstellenentgelte jedoch nicht durch seinen Erdgaslieferanten erhoben werden, reduziert sich der Referenzpreis gemäß Absatz 3 Nummer 1 um die Höhe der Netz- oder Messstellenentgelte. Der Letztverbraucher mit einer Vereinbarung nach Satz 1 hat den Erdgaslieferanten in Textform über seine Netzentgelte oder Messstellenentgelte bis zum 1. März 2023 oder, falls der Anspruch danach entsteht, unverzüglich zu informieren. Liegen die Informationen nicht vor, berücksichtigen die Erdgaslieferanten pauschaliert 0 Cent je Kilowattstunde für die Netzentgelte und Messstellenentgelte.</w:t>
      </w:r>
    </w:p>
    <w:p>
      <w:r>
        <w:t xml:space="preserve">(5) Soweit das Bundesministerium für Wirtschaft und Energie durch Rechtsverordnung auf Grund des § 39 Absatz 2 die Berechnung des Differenzbetrags angepasst hat, ist diese ergänzend zu den Bestimmungen der Absätze 2 bis 4 anzuwenden.</w:t>
      </w:r>
    </w:p>
    <w:p>
      <w:r>
        <w:rPr>
          <w:color w:val="555555"/>
          <w:sz w:val="17"/>
        </w:rPr>
        <w:t xml:space="preserve">Zitiervorschlag: § 9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