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EWPBG — Missbrauchsverbot</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Lieferanten ist eine Gestaltung ihrer Preissetzung oder eine sonstige Verhaltensweise verboten, die eine missbräuchliche Ausnutzung der Regelung zur Entlastung von Letztverbrauchern oder Kunden nach den Bestimmungen dieses Gesetzes darstellt. Insbesondere ist ihnen im Zeitraum vom 24. Dezember 2022 bis zum Ablauf des zeitlichen Anwendungsbereichs dieses Gesetzes nach § 1 verboten, ihre in die Ermittlung des Erstattungs- und Vorauszahlungsanspruchs nach den §§ 31 und 32 einfließenden Arbeitspreise sachlich ungerechtfertigt zu erhöhen. Gleiches gilt für Gestaltungen der Preissetzung oder sonstige Verhaltensweisen, die in ähnlicher Weise zu sachlich nicht gerechtfertigten, überhöhten Erstattungs- und Vorauszahlungsansprüchen führen. In Verfahren vor dem Bundeskartellamt mit Ausnahme von Bußgeldverfahren obliegt dem Lieferanten die Darlegungs- und Beweislast für die sachliche Rechtfertigung der Gestaltung der Preissetzung, Preiserhöhung oder der sonstigen Verhaltensweise. Eine sachliche Rechtfertigung kann sich ergeben aus</w:t>
      </w:r>
    </w:p>
    <w:p>
      <w:pPr>
        <w:ind w:left="420"/>
      </w:pPr>
      <w:r>
        <w:t xml:space="preserve">1. marktbasierten Preisen und Kosten, insbesondere aus vor dem 25. November 2022 geschlossenen Beschaffungsverträgen, oder</w:t>
      </w:r>
    </w:p>
    <w:p>
      <w:pPr>
        <w:ind w:left="420"/>
      </w:pPr>
      <w:r>
        <w:t xml:space="preserve">2. vom Lieferanten im regulatorischen Sinne nicht beeinflussbaren Preis- und Kostenbestandteilen.</w:t>
      </w:r>
    </w:p>
    <w:p>
      <w:r>
        <w:t xml:space="preserve">Eine sachliche Rechtfertigung scheidet aus, soweit ein Anstieg der Beschaffungskosten ursächlich auf einer Veräußerung vor dem 25. November 2022 beschaffter Energiemengen und teurerer Wiederbeschaffung beruht. Für Wärmeversorgungsunternehmen kann sich eine sachliche Rechtfertigung insbesondere durch die Anwendung einer Preisanpassungsklausel ergeben, welche bereits am 30. September 2022 bestanden hat und den Vorgaben des § 24 der Verordnung über Allgemeine Bedingungen für die Versorgung mit Fernwärme entspricht.</w:t>
      </w:r>
    </w:p>
    <w:p>
      <w:r>
        <w:t xml:space="preserve">(2) Das Bundeskartellamt kann einen Lieferanten, der seine Verhaltensmöglichkeiten zur Erzielung von Erstattungs- und Vorauszahlungsansprüchen im Sinne des Absatzes 1 missbräuchlich ausnutzt, verpflichten, sein missbräuchliches Handeln abzustellen. Es kann dem Lieferanten alle Maßnahmen aufgeben, die erforderlich sind, um das missbräuchliche Handeln wirksam abzustellen. Es kann insbesondere</w:t>
      </w:r>
    </w:p>
    <w:p>
      <w:pPr>
        <w:ind w:left="420"/>
      </w:pPr>
      <w:r>
        <w:t xml:space="preserve">1. anordnen, dass die Erstattungen und Vorauszahlungen nach den §§ 31 und 32 von dem Lieferanten ganz oder teilweise an die Bundesrepublik Deutschland zurückzuerstatten sind sowie</w:t>
      </w:r>
    </w:p>
    <w:p>
      <w:pPr>
        <w:ind w:left="420"/>
      </w:pPr>
      <w:r>
        <w:t xml:space="preserve">2. die Abschöpfung sonstiger wirtschaftlicher Vorteile des Lieferanten anordnen und dem Lieferanten die Zahlung des entsprechenden Geldbetrags auferlegen.</w:t>
      </w:r>
    </w:p>
    <w:p>
      <w:r>
        <w:t xml:space="preserve">Die Höhe des Rückerstattungsbetrags und des wirtschaftlichen Vorteils kann geschätzt werden. Der abzuführende Geldbetrag ist zahlenmäßig zu bestimmen. Eine Weitergabe wirtschaftlicher Vorteile des Lieferanten an Letztverbraucher, Kunden oder Dritte bleibt außer Betracht. Maßnahmen des Bundeskartellamts nach Absatz 2 sind als individuell zurechenbare öffentlich-rechtliche Leistungen gebührenpflichtig; die Höhe der Gebühr, mit der die Kosten, die mit der individuell zurechenbaren Leistung verbunden sind, gedeckt werden sollen, darf 50 000 Euro nicht übersteigen. Die §§ 32b, 50e, 50f, 86a, 91, 92, 94, 95 sowie die Vorschriften des Kapitels 3 des Teils 2 und des Kapitels 1 des Teils 3 des Gesetzes gegen Wettbewerbsbeschränkungen gelten entsprechend. Dies gilt auch für die von ihnen in Bezug genommenen und auf sie verweisenden Vorschriften. §§ 59, 59a und 59b des Gesetzes gegen Wettbewerbsbeschränkungen sind mit der Maßgabe anzuwenden, dass das Auskunftsverlangen einen gegen konkrete Lieferanten gerichteten Anfangsverdacht eines missbräuchlichen Verhaltens nicht voraussetzt. Das Bundeskartellamt und die in § 2 Nummer 1 und 11 benannten Stellen können zur Erfüllung ihrer Aufgaben nach diesem Gesetz in entsprechender Anwendung von § 50f Absatz 1 des Gesetzes gegen Wettbewerbsbeschränkungen Informationen austauschen. Rechtsbehelfe gegen die Abstellungsverfügungen nach Satz 2 oder die Anordnungen nach Satz 3 Nummer 1 haben keine aufschiebende Wirkung.</w:t>
      </w:r>
    </w:p>
    <w:p>
      <w:r>
        <w:t xml:space="preserve">(3) Die Vorschriften des Gesetzes gegen Wettbewerbsbeschränkungen bleiben anwendbar. Die Aufgaben und Zuständigkeiten der Kartellbehörden bleiben unberührt.</w:t>
      </w:r>
    </w:p>
    <w:p>
      <w:r>
        <w:rPr>
          <w:color w:val="555555"/>
          <w:sz w:val="17"/>
        </w:rPr>
        <w:t xml:space="preserve">Zitiervorschlag: § 27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