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EWPBG — Lieferantenwechsel</w:t>
      </w:r>
    </w:p>
    <w:p>
      <w:r>
        <w:rPr>
          <w:color w:val="555555"/>
          <w:sz w:val="18"/>
        </w:rPr>
        <w:t xml:space="preserve">Erdgas-Wärme-Preisbremsengesetz</w:t>
      </w:r>
    </w:p>
    <w:p>
      <w:r>
        <w:rPr>
          <w:color w:val="555555"/>
          <w:sz w:val="18"/>
        </w:rPr>
        <w:t xml:space="preserve">Stand: 20.01.2023 (konsolidierte Textfassung, kein amtliches Inkrafttretensdatum)</w:t>
      </w:r>
    </w:p>
    <w:p>
      <w:r>
        <w:t xml:space="preserve">Bei einem Lieferantenwechsel im Kalenderjahr 2023 dürfen dem Letztverbraucher oder Kunden von dem neuen Lieferanten Entlastungsbeträge erst gewährt werden, wenn der Letztverbraucher oder Kunde dem neuen Lieferanten die Abrechnung des ursprünglichen Lieferanten vorgelegt hat oder wenn anderweitig sichergestellt wird, dass die neuen Entlastungsbeträge kein Entlastungskontingent zu Grunde legen, welches dem Letztverbraucher oder Kunden nicht zusteht.</w:t>
      </w:r>
    </w:p>
    <w:p>
      <w:r>
        <w:rPr>
          <w:color w:val="555555"/>
          <w:sz w:val="17"/>
        </w:rPr>
        <w:t xml:space="preserve">Zitiervorschlag: § 24 EWPBG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https://recht.nulegal.eu/gesetze/EWPBG/24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