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EWPBG — Begriffsbestimmungen</w:t>
      </w:r>
    </w:p>
    <w:p>
      <w:r>
        <w:rPr>
          <w:color w:val="555555"/>
          <w:sz w:val="18"/>
        </w:rPr>
        <w:t xml:space="preserve">Erdgas-Wärme-Preisbremsengesetz</w:t>
      </w:r>
    </w:p>
    <w:p>
      <w:r>
        <w:rPr>
          <w:color w:val="555555"/>
          <w:sz w:val="18"/>
        </w:rPr>
        <w:t xml:space="preserve">Stand: 24.12.2025 (konsolidierte Textfassung, kein amtliches Inkrafttretensdatum)</w:t>
      </w:r>
    </w:p>
    <w:p>
      <w:r>
        <w:t xml:space="preserve">Im Sinne dieses Gesetzes ist oder sind:</w:t>
      </w:r>
    </w:p>
    <w:p>
      <w:pPr>
        <w:ind w:left="420"/>
      </w:pPr>
      <w:r>
        <w:t xml:space="preserve">1. Beauftragtereine vom Bundesministerium für Wirtschaft und Energie zu bestellende und bekannt zu machende, mit den ihr durch dieses Gesetz zugewiesenen Aufgaben betraute juristische Person des Privatrechts;</w:t>
      </w:r>
    </w:p>
    <w:p>
      <w:pPr>
        <w:ind w:left="420"/>
      </w:pPr>
      <w:r>
        <w:t xml:space="preserve">2. durchschnittliche Beschaffungskostender Betrag in Cent pro Kilowattstunde, der sich für einen Letztverbraucher aus der Summe der Gesamtbezugskosten aller Liefervereinbarungen im Sinne von § 7 Absatz 1 für einen Liefermonat geteilt durch die insgesamt vom Letztverbraucher in dem betreffenden Kalendermonat über alle Entnahmestellen verbrauchten Kilowattstunden ergibt; soweit der Letztverbraucher Finanzkontrakte ohne Lieferverpflichtung zur Absicherung seiner durchschnittlichen Beschaffungskosten abgeschlossen hat, sind diese bei der Ermittlung der Beschaffungskosten zu berücksichtigen; dabei sind auch solche Geschäfte zu berücksichtigen, die durch Gegengeschäfte aufgehoben werden;</w:t>
      </w:r>
    </w:p>
    <w:p>
      <w:pPr>
        <w:ind w:left="420"/>
      </w:pPr>
      <w:r>
        <w:t xml:space="preserve">3. energieintensive Letztverbraucher oder KundenLetztverbraucher oder Kunden, deren Energiebeschaffungskosten einschließlich der Beschaffungskosten für andere Energieerzeugnisse als Erdgas, Wärme und Strom sich nach ihren Geschäftsberichten</w:t>
      </w:r>
    </w:p>
    <w:p>
      <w:pPr>
        <w:ind w:left="780"/>
      </w:pPr>
      <w:r>
        <w:t xml:space="preserve">a) für das Kalenderjahr 2021 auf mindestens 3 Prozent des Produktionswertes oder des Umsatzes belaufen oder</w:t>
      </w:r>
    </w:p>
    <w:p>
      <w:pPr>
        <w:ind w:left="780"/>
      </w:pPr>
      <w:r>
        <w:t xml:space="preserve">b) für das erste Halbjahr des Kalenderjahres 2022 auf mindestens 6 Prozent des Produktionswertes oder des Umsatzes belaufen;</w:t>
      </w:r>
    </w:p>
    <w:p>
      <w:pPr>
        <w:ind w:left="420"/>
      </w:pPr>
      <w:r>
        <w:t xml:space="preserve">4. Entlastungssummedie Summe aller staatlichen Beihilfen für Mehrkosten aufgrund des außergewöhnlich starken Anstiegs der Preise für Strom, Erdgas und Wärme, die vor dem 1. Januar 2024 gewährt und aufgrund des Befristeten Krisenrahmens für staatliche Beihilfen zur Stützung der Wirtschaft infolge der Aggression Russlands gegen die Ukraine vom 28. Oktober 2022 (ABl. C 426 vom 9.11.2022, S. 1) von der Europäischen Kommission genehmigt worden sind oder unter die von der Europäischen Kommission genehmigte Regelung zur vorübergehenden Gewährung geringfügiger Beihilfen im Geltungsbereich der Bundesrepublik Deutschland auf der Grundlage des Befristeten Krisenrahmens der Europäischen Kommission für staatliche Beihilfen zur Stützung der Wirtschaft in Folge der Aggression Russlands gegen die Ukraine („BKR-Bundesregelung Kleinbeihilfen 2022“), BAnz AT 27.04.2022 B2, in der jeweils geltenden Fassung fallen; zu diesen Maßnahmen gehören insbesondere</w:t>
      </w:r>
    </w:p>
    <w:p>
      <w:pPr>
        <w:ind w:left="780"/>
      </w:pPr>
      <w:r>
        <w:t xml:space="preserve">a) Entlastungsbeträge nach den Teilen 2 und 3a,</w:t>
      </w:r>
    </w:p>
    <w:p>
      <w:pPr>
        <w:ind w:left="780"/>
      </w:pPr>
      <w:r>
        <w:t xml:space="preserve">b) Entlastungsbeträge nach dem Erdgas-Wärme-Soforthilfegesetz,</w:t>
      </w:r>
    </w:p>
    <w:p>
      <w:pPr>
        <w:ind w:left="780"/>
      </w:pPr>
      <w:r>
        <w:t xml:space="preserve">c) Entlastungsbeträge nach dem Strompreisbremsegesetz,</w:t>
      </w:r>
    </w:p>
    <w:p>
      <w:pPr>
        <w:ind w:left="780"/>
      </w:pPr>
      <w:r>
        <w:t xml:space="preserve">d) Beihilfen nach der Regelung des Bundesministeriums für Wirtschaft und Energie zur vorübergehenden Gewährung geringfügiger Beihilfen im Geltungsbereich der Bundesrepublik Deutschland auf der Grundlage der BKR-Bundesregelung Kleinbeihilfen 2022,</w:t>
      </w:r>
    </w:p>
    <w:p>
      <w:pPr>
        <w:ind w:left="780"/>
      </w:pPr>
      <w:r>
        <w:t xml:space="preserve">e) Billigkeitsleistungen nach der Richtlinie des Bundesministeriums für Wirtschaft und Energie über die Gewährung von Billigkeitsleistungen zur temporären Kostendämpfung des Erdgas- und Strompreisanstiegs („Energiekostendämpfungsprogramm“) vom 12. Juli 2022 (BAnz AT 15.07.2022 B2) in der jeweils geltenden Fassung und</w:t>
      </w:r>
    </w:p>
    <w:p>
      <w:pPr>
        <w:ind w:left="780"/>
      </w:pPr>
      <w:r>
        <w:t xml:space="preserve">f) alle weiteren Maßnahmen, die durch Bund, Länder oder Kommunen oder auf Grund einer Regelung des Bundes, eines Landes oder einer Kommune zu dem in dieser Nummer genannten Zweck gewährt worden sind;</w:t>
      </w:r>
    </w:p>
    <w:p>
      <w:pPr>
        <w:ind w:left="420"/>
      </w:pPr>
      <w:r>
        <w:t xml:space="preserve">5. Erdgaslieferantnatürliche und juristische Personen, deren Geschäftstätigkeit ganz oder teilweise auf den Vertrieb von leitungsgebundenem Erdgas zum Zweck der Belieferung von Letztverbrauchern ausgerichtet ist;</w:t>
      </w:r>
    </w:p>
    <w:p>
      <w:pPr>
        <w:ind w:left="420"/>
      </w:pPr>
      <w:r>
        <w:t xml:space="preserve">6. krisenbedingte Energiemehrkostendie Energiemehrkosten nach dem 31. Januar 2022 und vor dem 1. Januar 2024 gegenüber den Referenzenergiekosten nach dem 31. Dezember 2020 und vor dem 1. Januar 2022 nach Anlage 1, die die Grundlage zur Errechnung des beihilferechtlich zulässigen Höchstwertes bilden, wobei, sofern für das Kalenderjahr 2021 keine Referenzenergiekosten 2021 mangels Verbrauch in diesem Zeitraum verfügbar sind, auf den jeweils einschlägigen Referenzenergiepreis nach § 9 Absatz 3 oder § 16 Absatz 3 abzustellen ist;</w:t>
      </w:r>
    </w:p>
    <w:p>
      <w:pPr>
        <w:ind w:left="420"/>
      </w:pPr>
      <w:r>
        <w:t xml:space="preserve">7. Kundeder Vertragspartner eines Wärmeversorgungsunternehmens im Rahmen eines Wärmeliefervertrags, der die gelieferte Wärme zu eigenen Zwecken verbraucht oder seinem Mieter oder Pächter zur Nutzung zur Verfügung stellt;</w:t>
      </w:r>
    </w:p>
    <w:p>
      <w:pPr>
        <w:ind w:left="420"/>
      </w:pPr>
      <w:r>
        <w:t xml:space="preserve">8. LetztverbraucherLetztverbraucher im Sinne des § 3 Nummer 70 des Energiewirtschaftsgesetzes vom 7. Juli 2005 (BGBl. I S. 1970, 3621), das zuletzt durch Artikel 3 des Gesetzes vom 8. Oktober 2022 (BGBl. I S. 1726) geändert worden ist;</w:t>
      </w:r>
    </w:p>
    <w:p>
      <w:pPr>
        <w:ind w:left="420"/>
      </w:pPr>
      <w:r>
        <w:t xml:space="preserve">9. LieferantErdgaslieferant und Wärmeversorgungsunternehmen;</w:t>
      </w:r>
    </w:p>
    <w:p>
      <w:pPr>
        <w:ind w:left="420"/>
      </w:pPr>
      <w:r>
        <w:t xml:space="preserve">10. Netzentnahmedie Entnahme von leitungsgebundenem Erdgas oder Wärme aus einem Netz mit Ausnahme der Entnahme der jeweils nachgelagerten Netzebene;</w:t>
      </w:r>
    </w:p>
    <w:p>
      <w:pPr>
        <w:ind w:left="420"/>
      </w:pPr>
      <w:r>
        <w:t xml:space="preserve">11. Prüfbehördedie in der Rechtsverordnung nach § 48 Absatz 1 Nummer 1 des Strompreisbremsegesetzes bestimmte Behörde oder die jeweilige nach § 48a des Strompreisbremsegesetzes beliehene juristische Person des Privatrechts;</w:t>
      </w:r>
    </w:p>
    <w:p>
      <w:pPr>
        <w:ind w:left="420"/>
      </w:pPr>
      <w:r>
        <w:t xml:space="preserve">12. Prüferein Wirtschaftsprüfer, eine Wirtschaftsprüfungsgesellschaft, ein genossenschaftlicher Prüfungsverband, ein vereidigter Buchprüfer oder eine Buchprüfungsgesellschaft;</w:t>
      </w:r>
    </w:p>
    <w:p>
      <w:pPr>
        <w:ind w:left="420"/>
      </w:pPr>
      <w:r>
        <w:t xml:space="preserve">13. Unternehmenjeder Rechtsträger, der einen nach Art und Umfang in kaufmännischer Weise eingerichteten Geschäftsbetrieb unter Beteiligung am allgemeinen wirtschaftlichen Verkehr betreibt;</w:t>
      </w:r>
    </w:p>
    <w:p>
      <w:pPr>
        <w:ind w:left="420"/>
      </w:pPr>
      <w:r>
        <w:t xml:space="preserve">14. Unternehmen, das im Fischerei- und Aquakultursektor tätig istjedes Unternehmen, dessen Tätigkeit die Erzeugung oder Verarbeitung und Vermarktung von Erzeugnissen der Fischerei oder der Aquakultur beinhaltet; dabei sind</w:t>
      </w:r>
    </w:p>
    <w:p>
      <w:pPr>
        <w:ind w:left="780"/>
      </w:pPr>
      <w:r>
        <w:t xml:space="preserve">a) Erzeugnisse der Aquakulturaquatische Organismen in jeder Phase ihres Lebenszyklus, die aus Aquakulturanlagen stammen, oder davon abgeleitete Erzeugnisse gemäß Anhang I der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 und</w:t>
      </w:r>
    </w:p>
    <w:p>
      <w:pPr>
        <w:ind w:left="780"/>
      </w:pPr>
      <w:r>
        <w:t xml:space="preserve">b) Erzeugnisse der Fischereiaquatische Organismen, die eingesammelt oder gefangen werden, oder davon abgeleitete Erzeugnisse gemäß Anhang I der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w:t>
      </w:r>
    </w:p>
    <w:p>
      <w:pPr>
        <w:ind w:left="420"/>
      </w:pPr>
      <w:r>
        <w:t xml:space="preserve">15. Unternehmen, das in der Primärproduktion landwirtschaftlicher Erzeugnisse tätig istjedes Unternehmen, dessen Tätigkeit in der Erzeugung von in Anhang I des Vertrags über die Arbeitsweise der Europäischen Union aufgeführten Erzeugnissen des Bodens und der Viehzucht, ohne weitere Vorgänge, die die Beschaffenheit solcher Erzeugnisse verändern, besteht;</w:t>
      </w:r>
    </w:p>
    <w:p>
      <w:pPr>
        <w:ind w:left="420"/>
      </w:pPr>
      <w:r>
        <w:t xml:space="preserve">16. verbundene UnternehmenUnternehmen, die zueinander in einer der in Artikel 3 Absatz 3 des Anhangs I der Verordnung (EU) Nr. 651/2014 der Europäischen Kommission vom 17. Juni 2014 zur Feststellung der Vereinbarkeit bestimmter Gruppen von Beihilfen mit dem Binnenmarkt in Anwendung der Artikel 107 und 108 des Vertrages über die Arbeitsweise der Europäischen Union (ABl. L 187 vom 26.6.2014, S. 1), die zuletzt durch die Verordnung (EU) 2021/1237 (ABl. L 270 vom 29.7.2021, S. 39) geändert worden ist, genannten Beziehung stehen;</w:t>
      </w:r>
    </w:p>
    <w:p>
      <w:pPr>
        <w:ind w:left="420"/>
      </w:pPr>
      <w:r>
        <w:t xml:space="preserve">17. WärmeversorgungsunternehmenUnternehmen, das gewerblich Wärme an einen Kunden liefert.</w:t>
      </w:r>
    </w:p>
    <w:p>
      <w:r>
        <w:rPr>
          <w:color w:val="555555"/>
          <w:sz w:val="17"/>
        </w:rPr>
        <w:t xml:space="preserve">Zitiervorschlag: § 2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