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EWPBG — Ermittlung des Entlastungsbetrags für Wärme</w:t>
      </w:r>
    </w:p>
    <w:p>
      <w:r>
        <w:rPr>
          <w:color w:val="555555"/>
          <w:sz w:val="18"/>
        </w:rPr>
        <w:t xml:space="preserve">Erdgas-Wärme-Preisbremsengesetz</w:t>
      </w:r>
    </w:p>
    <w:p>
      <w:r>
        <w:rPr>
          <w:color w:val="555555"/>
          <w:sz w:val="18"/>
        </w:rPr>
        <w:t xml:space="preserve">Stand: 03.08.2023 (konsolidierte Textfassung, kein amtliches Inkrafttretensdatum)</w:t>
      </w:r>
    </w:p>
    <w:p>
      <w:r>
        <w:t xml:space="preserve">(1) Der Entlastungsbetrag ergibt sich für jede Entnahmestelle als Produkt aus dem Differenzbetrag nach § 16 und dem Entlastungskontingent nach § 17, gedeckelt durch die jeweils geltende Höchstgrenze nach § 18, und sodann geteilt durch zwölf. Wird der Kunde über mehrere Entnahmestellen beliefert, kann der monatliche Entlastungsbetrag von dem Kunden durch Erklärung gegenüber dem Lieferanten anteilig auf seine Entnahmestellen verteilt werden.</w:t>
      </w:r>
    </w:p>
    <w:p>
      <w:r>
        <w:t xml:space="preserve">(2) Wenn ein Kunde, eine Mitteilung nach § 22 Absatz 2 abgegeben hat, sind die dem Kunden, einschließlich seiner verbundenen Unternehmen, den Gesamtbetrag von 2 Millionen Euro übersteigenden Entlastungen nur insoweit zulässig, als die gelieferte Wärme direkt aus Erdgas oder Strom erzeugt worden ist. Als Nachweis für die Erzeugung der Wärme direkt aus Erdgas oder Strom sind Zertifikate oder Schätzungen des Wärmeversorgungsunternehmens zulässig.</w:t>
      </w:r>
    </w:p>
    <w:p>
      <w:r>
        <w:t xml:space="preserve">(3) Der Entlastungsbetrag ist unter dem Vorbehalt der Rückforderung zu gewähren. Der Vorbehalt ist mit der Wertstellung des Ausgleichs der Jahresendabrechnung für das Kalenderjahr 2023 nach § 20 erfüllt. Abweichend von Satz 2 besteht in den Fällen des § 29 Absatz 1 Satz 2 der Vorbehalt einer Rückforderung nach § 29 Absatz 4 fort.</w:t>
      </w:r>
    </w:p>
    <w:p>
      <w:r>
        <w:rPr>
          <w:color w:val="555555"/>
          <w:sz w:val="17"/>
        </w:rPr>
        <w:t xml:space="preserve">Zitiervorschlag: § 15 EWPBG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https://recht.nulegal.eu/gesetze/EWPBG/15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