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EWPBG — Anwendungsbereich</w:t>
      </w:r>
    </w:p>
    <w:p>
      <w:r>
        <w:rPr>
          <w:color w:val="555555"/>
          <w:sz w:val="18"/>
        </w:rPr>
        <w:t xml:space="preserve">Erdgas-Wärme-Preisbremsengesetz</w:t>
      </w:r>
    </w:p>
    <w:p>
      <w:r>
        <w:rPr>
          <w:color w:val="555555"/>
          <w:sz w:val="18"/>
        </w:rPr>
        <w:t xml:space="preserve">Stand: 20.01.2023 (konsolidierte Textfassung, kein amtliches Inkrafttretensdatum)</w:t>
      </w:r>
    </w:p>
    <w:p>
      <w:r>
        <w:t xml:space="preserve">(1) Teil 2 Kapitel 1 und 2 dieses Gesetzes ist auf Netzentnahmen von leitungsgebundenem Erdgas und die gewerbliche Lieferung von Wärme anzuwenden, das oder die</w:t>
      </w:r>
    </w:p>
    <w:p>
      <w:pPr>
        <w:ind w:left="420"/>
      </w:pPr>
      <w:r>
        <w:t xml:space="preserve">1. nach dem 31. Dezember 2022 von mit leitungsgebundenem Erdgas belieferten Letztverbrauchern und Kunden von Wärme, für die Entlastungen nach den §§ 6, 7 und 14 vorgesehen sind, oder</w:t>
      </w:r>
    </w:p>
    <w:p>
      <w:pPr>
        <w:ind w:left="420"/>
      </w:pPr>
      <w:r>
        <w:t xml:space="preserve">2. nach dem 28. Februar 2023 von mit leitungsgebundenem Erdgas belieferten Letztverbrauchern und Kunden von Wärme, für die Entlastungen nach den §§ 3 und 11 vorgesehen sind,</w:t>
      </w:r>
    </w:p>
    <w:p>
      <w:r>
        <w:t xml:space="preserve">und vor dem 1. Januar 2024 im Bundesgebiet verbraucht wurde.</w:t>
      </w:r>
    </w:p>
    <w:p>
      <w:r>
        <w:t xml:space="preserve">(2) Die Bundesregierung kann durch Rechtsverordnung nach § 39 Absatz 1 den zeitlichen Anwendungsbereich von Teil 2 Kapitel 1 und 2 bis zum Ablauf des 30. April 2024 verlängern.</w:t>
      </w:r>
    </w:p>
    <w:p>
      <w:r>
        <w:rPr>
          <w:color w:val="555555"/>
          <w:sz w:val="17"/>
        </w:rPr>
        <w:t xml:space="preserve">Zitiervorschlag: § 1 EWPBG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