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EWMVZV (Brandenburg)</w:t>
      </w:r>
    </w:p>
    <w:p>
      <w:r>
        <w:rPr>
          <w:color w:val="555555"/>
          <w:sz w:val="18"/>
        </w:rPr>
        <w:t xml:space="preserve">Verordnung über die zuständigen Behörden nach der Ernährungswirtschaftsmeldeverordnung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29. März 1995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Ernährung, Landwirtschaft und</w:t>
      </w:r>
    </w:p>
    <w:p>
      <w:r>
        <w:t xml:space="preserve">Forsten</w:t>
      </w:r>
    </w:p>
    <w:p>
      <w:r>
        <w:t xml:space="preserve">Edwin Zimmermann</w:t>
      </w:r>
    </w:p>
    <w:p>
      <w:r>
        <w:rPr>
          <w:color w:val="555555"/>
          <w:sz w:val="17"/>
        </w:rPr>
        <w:t xml:space="preserve">Zitiervorschlag: § 2 EWMVZV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https://recht.nulegal.eu/gesetze/EWMVZV/2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