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EWMVZV (Brandenburg)</w:t>
      </w:r>
    </w:p>
    <w:p>
      <w:r>
        <w:rPr>
          <w:color w:val="555555"/>
          <w:sz w:val="18"/>
        </w:rPr>
        <w:t xml:space="preserve">Verordnung über die zuständigen Behörden nach der Ernährungswirtschaftsmeldeverordnung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Behörden im Sinne des § 4 der</w:t>
      </w:r>
    </w:p>
    <w:p>
      <w:r>
        <w:t xml:space="preserve">Ernährungswirtschaftsmeldeverordnung vom 1. Dezember 1994 (BGBl. I S.</w:t>
      </w:r>
    </w:p>
    <w:p>
      <w:r>
        <w:t xml:space="preserve">3674) sind die Landkreise und kreisfreien Städte. Sie nehmen diese Aufgabe</w:t>
      </w:r>
    </w:p>
    <w:p>
      <w:r>
        <w:t xml:space="preserve">als Pflichtaufgabe zur Erfüllung nach Weisung wahr.</w:t>
      </w:r>
    </w:p>
    <w:p>
      <w:r>
        <w:t xml:space="preserve">(2) Die Aufsicht über die nach Absatz 1 zuständigen</w:t>
      </w:r>
    </w:p>
    <w:p>
      <w:r>
        <w:t xml:space="preserve">Behörden führt das Ministerium für Ernährung,</w:t>
      </w:r>
    </w:p>
    <w:p>
      <w:r>
        <w:t xml:space="preserve">Landwirtschaft und Forsten. Für die Durchführung der Aufsicht gelten</w:t>
      </w:r>
    </w:p>
    <w:p>
      <w:r>
        <w:t xml:space="preserve">die Bestimmungen des § 121 Abs. 2 der Kommunalverfassung des Landes Brandenburg.</w:t>
      </w:r>
    </w:p>
    <w:p>
      <w:r>
        <w:rPr>
          <w:color w:val="555555"/>
          <w:sz w:val="17"/>
        </w:rPr>
        <w:t xml:space="preserve">Zitiervorschlag: § 1 EWMVZV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https://recht.nulegal.eu/gesetze/EWMVZV/1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