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EWKVerbotsV — Inkrafttreten</w:t>
      </w:r>
    </w:p>
    <w:p>
      <w:r>
        <w:rPr>
          <w:color w:val="555555"/>
          <w:sz w:val="18"/>
        </w:rPr>
        <w:t xml:space="preserve">Einwegkunststoffverbotsverordnung</w:t>
      </w:r>
    </w:p>
    <w:p>
      <w:r>
        <w:rPr>
          <w:color w:val="555555"/>
          <w:sz w:val="18"/>
        </w:rPr>
        <w:t xml:space="preserve">Stand: 03.07.2021 (konsolidierte Textfassung, kein amtliches Inkrafttretensdatum)</w:t>
      </w:r>
    </w:p>
    <w:p>
      <w:r>
        <w:t xml:space="preserve">Diese Verordnung tritt am 3. Juli 2021 in Kraft.</w:t>
      </w:r>
    </w:p>
    <w:p>
      <w:r>
        <w:rPr>
          <w:color w:val="555555"/>
          <w:sz w:val="17"/>
        </w:rPr>
        <w:t xml:space="preserve">Zitiervorschlag: § 5 EWKVerbotsV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https://recht.nulegal.eu/gesetze/EWKVerbotsV/5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