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EWKVerbotsV — Beschränkungen des Inverkehrbringens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(1) Folgende Einwegkunststoffprodukte dürfen nicht in Verkehr gebracht werden:</w:t>
      </w:r>
    </w:p>
    <w:p>
      <w:pPr>
        <w:ind w:left="420"/>
      </w:pPr>
      <w:r>
        <w:t xml:space="preserve">1. Wattestäbchen; ausgenommen sind Wattestäbchen, die dem Anwendungsbereich der Verordnung (EU) 2017/745 des Europäischen Parlaments und des Rates vom 5. April 2017 über Medizinprodukte, zur Änderung der Richtlinie 2001/83/EG, der Verordnung (EG) Nr. 178/2002 und der Verordnung (EG) Nr. 1223/2009 und zur Aufhebung der Richtlinien 90/385/EWG und 93/42/EWG des Rates (ABl. L 117 vom 5.5.2017, S. 1; L 117 vom 3.5.2019, S. 9; L 334 vom 27.12.2019, S. 165), die durch die Verordnung (EU) 2020/561 (ABl. L 130 vom 24.4.2020, S. 18) geändert worden ist, in der jeweils geltenden Fassung unterfallen,</w:t>
      </w:r>
    </w:p>
    <w:p>
      <w:pPr>
        <w:ind w:left="420"/>
      </w:pPr>
      <w:r>
        <w:t xml:space="preserve">2. Besteck, insbesondere Gabeln, Messer, Löffel und Essstäbchen,</w:t>
      </w:r>
    </w:p>
    <w:p>
      <w:pPr>
        <w:ind w:left="420"/>
      </w:pPr>
      <w:r>
        <w:t xml:space="preserve">3. Teller,</w:t>
      </w:r>
    </w:p>
    <w:p>
      <w:pPr>
        <w:ind w:left="420"/>
      </w:pPr>
      <w:r>
        <w:t xml:space="preserve">4. Trinkhalme; ausgenommen sind Trinkhalme, die der Verordnung (EU) 2017/745 unterfallen,</w:t>
      </w:r>
    </w:p>
    <w:p>
      <w:pPr>
        <w:ind w:left="420"/>
      </w:pPr>
      <w:r>
        <w:t xml:space="preserve">5. Rührstäbchen,</w:t>
      </w:r>
    </w:p>
    <w:p>
      <w:pPr>
        <w:ind w:left="420"/>
      </w:pPr>
      <w:r>
        <w:t xml:space="preserve">6. Luftballonstäbe, die zur Stabilisierung an den Luftballons befestigt werden, einschließlich der jeweiligen Halterungsmechanismen; ausgenommen sind Luftballonstäbe, einschließlich der jeweiligen Halterungsmechanismen, von Luftballons für industrielle oder gewerbliche Verwendungszwecke und Anwendungen, die nicht an Verbraucher abgegeben werden,</w:t>
      </w:r>
    </w:p>
    <w:p>
      <w:pPr>
        <w:ind w:left="420"/>
      </w:pPr>
      <w:r>
        <w:t xml:space="preserve">7. Lebensmittelbehälter aus expandiertem Polystyrol, also Behältnisse, wie Boxen mit oder ohne Deckel, für Lebensmittel, die</w:t>
      </w:r>
    </w:p>
    <w:p>
      <w:pPr>
        <w:ind w:left="780"/>
      </w:pPr>
      <w:r>
        <w:t xml:space="preserve">a) dazu bestimmt sind, unmittelbar verzehrt zu werden, entweder vor Ort oder als Mitnahme-Gericht,</w:t>
      </w:r>
    </w:p>
    <w:p>
      <w:pPr>
        <w:ind w:left="780"/>
      </w:pPr>
      <w:r>
        <w:t xml:space="preserve">b) in der Regel aus dem Behältnis heraus verzehrt werden und</w:t>
      </w:r>
    </w:p>
    <w:p>
      <w:pPr>
        <w:ind w:left="780"/>
      </w:pPr>
      <w:r>
        <w:t xml:space="preserve">c) ohne weitere Zubereitung wie Kochen, Sieden oder Erhitzen verzehrt werden können;</w:t>
      </w:r>
    </w:p>
    <w:p>
      <w:pPr>
        <w:ind w:left="420"/>
      </w:pPr>
      <w:r>
        <w:t xml:space="preserve">keine Lebensmittelbehälter in diesem Sinne sind Getränkebehälter, Getränkebecher, Teller sowie Tüten und Folienverpackungen, wie Wrappers, mit Lebensmittelinhalt,</w:t>
      </w:r>
    </w:p>
    <w:p>
      <w:pPr>
        <w:ind w:left="420"/>
      </w:pPr>
      <w:r>
        <w:t xml:space="preserve">8. Getränkebehälter aus expandiertem Polystyrol einschließlich ihrer Verschlüsse und Deckel sowie</w:t>
      </w:r>
    </w:p>
    <w:p>
      <w:pPr>
        <w:ind w:left="420"/>
      </w:pPr>
      <w:r>
        <w:t xml:space="preserve">9. Getränkebecher aus expandiertem Polystyrol einschließlich ihrer Verschlüsse und Deckel.</w:t>
      </w:r>
    </w:p>
    <w:p>
      <w:r>
        <w:t xml:space="preserve">(2) Produkte aus oxo-abbaubarem Kunststoff dürfen nicht in Verkehr gebracht werden.</w:t>
      </w:r>
    </w:p>
    <w:p>
      <w:r>
        <w:rPr>
          <w:color w:val="555555"/>
          <w:sz w:val="17"/>
        </w:rPr>
        <w:t xml:space="preserve">Zitiervorschlag: § 3 EWKVerbotsV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