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EWKKennzV</w:t>
      </w:r>
    </w:p>
    <w:p>
      <w:r>
        <w:rPr>
          <w:color w:val="555555"/>
          <w:sz w:val="18"/>
        </w:rPr>
        <w:t xml:space="preserve">Einwegkunststoffkennzeichnungsverordnung</w:t>
      </w:r>
    </w:p>
    <w:p>
      <w:r>
        <w:rPr>
          <w:color w:val="555555"/>
          <w:sz w:val="18"/>
        </w:rPr>
        <w:t xml:space="preserve">Stand: 03.07.2021 (konsolidierte Textfassung, kein amtliches Inkrafttretensdatum)</w:t>
      </w:r>
    </w:p>
    <w:p>
      <w:r>
        <w:t xml:space="preserve">Auf Grund des § 24 Nummer 2, 6 und 7 Buchstabe b und d in Verbindung mit § 67 des Kreislaufwirtschaftsgesetzes, von denen § 24 Nummer 2, 6 und 7 Buchstabe b und d durch Artikel 1 Nummer 18 des Gesetzes vom 23. Oktober 2020 (BGBl. I S. 2232) geändert worden ist, verordnet die Bundesregierung nach Anhörung der beteiligten Kreise unter Wahrung der Rechte des Bundestages:</w:t>
      </w:r>
    </w:p>
    <w:p>
      <w:r>
        <w:rPr>
          <w:color w:val="555555"/>
          <w:sz w:val="17"/>
        </w:rPr>
        <w:t xml:space="preserve">Zitiervorschlag: Eingangsformel EWKKennzV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https://recht.nulegal.eu/gesetze/EWKKennzV/eingangsformel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