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EWKKennzV — Ordnungswidrigkeiten</w:t>
      </w:r>
    </w:p>
    <w:p>
      <w:r>
        <w:rPr>
          <w:color w:val="555555"/>
          <w:sz w:val="18"/>
        </w:rPr>
        <w:t xml:space="preserve">Einwegkunststoffkennzeichnungsverordnung</w:t>
      </w:r>
    </w:p>
    <w:p>
      <w:r>
        <w:rPr>
          <w:color w:val="555555"/>
          <w:sz w:val="18"/>
        </w:rPr>
        <w:t xml:space="preserve">Stand: 03.07.2021 (konsolidierte Textfassung, kein amtliches Inkrafttretensdatum)</w:t>
      </w:r>
    </w:p>
    <w:p>
      <w:r>
        <w:t xml:space="preserve">Ordnungswidrig im Sinne des § 69 Absatz 1 Nummer 8 des Kreislaufwirtschaftsgesetzes handelt, wer vorsätzlich oder fahrlässig entgegen § 3 Absatz 1 Satz 1 oder § 4 ein Produkt in Verkehr bringt.</w:t>
      </w:r>
    </w:p>
    <w:p>
      <w:r>
        <w:rPr>
          <w:color w:val="555555"/>
          <w:sz w:val="17"/>
        </w:rPr>
        <w:t xml:space="preserve">Zitiervorschlag: § 5 EWKKennzV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https://recht.nulegal.eu/gesetze/EWKKennzV/5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