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EWKKennzV — Kennzeichnungspflicht</w:t>
      </w:r>
    </w:p>
    <w:p>
      <w:r>
        <w:rPr>
          <w:color w:val="555555"/>
          <w:sz w:val="18"/>
        </w:rPr>
        <w:t xml:space="preserve">Einwegkunststoffkennzeichnungsverordnung</w:t>
      </w:r>
    </w:p>
    <w:p>
      <w:r>
        <w:rPr>
          <w:color w:val="555555"/>
          <w:sz w:val="18"/>
        </w:rPr>
        <w:t xml:space="preserve">Stand: 03.07.2021 (konsolidierte Textfassung, kein amtliches Inkrafttretensdatum)</w:t>
      </w:r>
    </w:p>
    <w:p>
      <w:r>
        <w:t xml:space="preserve">(1) Folgende Einwegkunststoffprodukte dürfen nur in Verkehr gebracht werden, wenn ihre Verkaufs- und Umverpackung wie folgt gekennzeichnet werden:</w:t>
      </w:r>
    </w:p>
    <w:p>
      <w:pPr>
        <w:ind w:left="420"/>
      </w:pPr>
      <w:r>
        <w:t xml:space="preserve">1. Hygieneeinlagen, insbesondere Binden, gemäß den Vorgaben nach Anhang I Nummer 1 Satz 1 und Nummer 3 der Durchführungsverordnung (EU) 2020/2151,</w:t>
      </w:r>
    </w:p>
    <w:p>
      <w:pPr>
        <w:ind w:left="420"/>
      </w:pPr>
      <w:r>
        <w:t xml:space="preserve">2. Tampons und Tamponapplikatoren gemäß den Vorgaben nach Anhang I Nummer 2 Satz 1 und Nummer 3 der Durchführungsverordnung (EU) 2020/2151,</w:t>
      </w:r>
    </w:p>
    <w:p>
      <w:pPr>
        <w:ind w:left="420"/>
      </w:pPr>
      <w:r>
        <w:t xml:space="preserve">3. Feuchttücher, das heißt getränkte Tücher für Körper- und Haushaltspflege, gemäß den Vorgaben nach Anhang II Nummer 1 Satz 1 und Nummer 2 der Durchführungsverordnung (EU) 2020/2151 sowie</w:t>
      </w:r>
    </w:p>
    <w:p>
      <w:pPr>
        <w:ind w:left="420"/>
      </w:pPr>
      <w:r>
        <w:t xml:space="preserve">4. Filter, die zur Verwendung in Kombination mit Tabakprodukten vorgesehen sind, gemäß den Vorgaben nach Anhang III Nummer 1 Satz 1 und Nummer 2 der Durchführungsverordnung (EU) 2020/2151.</w:t>
      </w:r>
    </w:p>
    <w:p>
      <w:r>
        <w:t xml:space="preserve">(2) Tabakprodukte mit Filtern dürfen nur in Verkehr gebracht werden, wenn ihre Außenverpackung und die Packung jeweils gemäß den Vorgaben nach Anhang III Nummer 1 Satz 1 und Nummer 2 der Durchführungsverordnung (EU) 2020/2151 gekennzeichnet sind.</w:t>
      </w:r>
    </w:p>
    <w:p>
      <w:r>
        <w:t xml:space="preserve">(3) Getränkebecher, die Einwegkunststoffprodukte sind, dürfen nur in Verkehr gebracht werden, wenn sie gemäß den Vorgaben nach Anhang IV Nummer 1 Satz 1, Nummer 2 Satz 1, Nummer 3 und 4 der Durchführungsverordnung (EU) 2020/2151 gekennzeichnet sind.</w:t>
      </w:r>
    </w:p>
    <w:p>
      <w:r>
        <w:rPr>
          <w:color w:val="555555"/>
          <w:sz w:val="17"/>
        </w:rPr>
        <w:t xml:space="preserve">Zitiervorschlag: § 4 EWKKennzV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https://recht.nulegal.eu/gesetze/EWKKennzV/4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