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EWKFondsV</w:t>
      </w:r>
    </w:p>
    <w:p>
      <w:r>
        <w:rPr>
          <w:color w:val="555555"/>
          <w:sz w:val="18"/>
        </w:rPr>
        <w:t xml:space="preserve">Einwegkunststofffondsverordnung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Auf Grund des § 14 Absatz 1 und des § 19 Absatz 2 des Einwegkunststofffondsgesetzes vom 11. Mai 2023 (BGBl. 2023 I Nr. 124; 2023 I Nr. 183) verordnet das Bundesministerium für Umwelt, Naturschutz, nukleare Sicherheit und Verbraucherschutz nach Anhörung der beteiligten Kreise sowie unter Wahrung der Rechte des Bundestages:</w:t>
      </w:r>
    </w:p>
    <w:p>
      <w:r>
        <w:rPr>
          <w:color w:val="555555"/>
          <w:sz w:val="17"/>
        </w:rPr>
        <w:t xml:space="preserve">Zitiervorschlag: Eingangsformel EWKFondsV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https://recht.nulegal.eu/gesetze/EWKFondsV/eingangsformel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