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EWKFondsG — Jahresübersicht</w:t>
      </w:r>
    </w:p>
    <w:p>
      <w:r>
        <w:rPr>
          <w:color w:val="555555"/>
          <w:sz w:val="18"/>
        </w:rPr>
        <w:t xml:space="preserve">Einwegkunststofffondsgesetz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Unbeschadet der §§ 80 bis 85 der Bundeshaushaltsordnung vom 19. August 1969 (BGBl. I S. 1284), die zuletzt durch Artikel 2 des Gesetzes vom 1. Juli 2022 (BGBl. I S. 1030) geändert worden ist, in der jeweils geltenden Fassung, stellt das Umweltbundesamt nach Ende eines jeden Haushaltsjahres in der Jahresübersicht die Summen der Einnahmen und Ausgaben des Einwegkunststofffonds dar.</w:t>
      </w:r>
    </w:p>
    <w:p>
      <w:r>
        <w:t xml:space="preserve">(2) Das Umweltbundesamt veröffentlicht die Jahresübersicht in geeigneter Weise auf seiner Internetseite.</w:t>
      </w:r>
    </w:p>
    <w:p>
      <w:r>
        <w:rPr>
          <w:color w:val="555555"/>
          <w:sz w:val="17"/>
        </w:rPr>
        <w:t xml:space="preserve">Zitiervorschlag: § 6 EWKFondsG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