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EWKFondsG — Einwegkunststofffonds</w:t>
      </w:r>
    </w:p>
    <w:p>
      <w:r>
        <w:rPr>
          <w:color w:val="555555"/>
          <w:sz w:val="18"/>
        </w:rPr>
        <w:t xml:space="preserve">Einwegkunststofffondsgesetz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Das Umweltbundesamt verwaltet den Einwegkunststofffonds. Der Einwegkunststofffonds dient der Abwicklung der Erstattung der in § 3 Nummer 12 bis 16 genannten Kosten durch die Hersteller.</w:t>
      </w:r>
    </w:p>
    <w:p>
      <w:r>
        <w:t xml:space="preserve">(2) Bei der Verwaltung des Einwegkunststofffonds sind die Grundsätze der Wirtschaftlichkeit und Sparsamkeit zu beachten.</w:t>
      </w:r>
    </w:p>
    <w:p>
      <w:r>
        <w:rPr>
          <w:color w:val="555555"/>
          <w:sz w:val="17"/>
        </w:rPr>
        <w:t xml:space="preserve">Zitiervorschlag: § 4 EWKFondsG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