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EWKFondsG — Übergangsvorschrift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Hersteller von Feuerwerkskörpern, die ihre Tätigkeit bereits vor dem 1. Januar 2026 aufgenommen haben, haben sich bis zum 31. Dezember 2026 gemäß § 7 beim Umweltbundesamt registrieren zu lassen.</w:t>
      </w:r>
    </w:p>
    <w:p>
      <w:r>
        <w:t xml:space="preserve">(2) Für Feuerwerkskörper findet § 9 erst ab dem 1. Januar 2027 Anwendung.</w:t>
      </w:r>
    </w:p>
    <w:p>
      <w:r>
        <w:t xml:space="preserve">(3) Hersteller von Feuerwerkskörpern, die nicht im Geltungsbereich dieses Gesetzes niedergelassen sind und ihre Tätigkeit bereits vor dem 1. Januar 2026 aufgenommen haben, haben bis zum 31. Dezember 2026 gemäß § 10 einen Bevollmächtigten zu beauftragen.</w:t>
      </w:r>
    </w:p>
    <w:p>
      <w:r>
        <w:t xml:space="preserve">(4) Hersteller von Feuerwerkskörpern haben die jährliche Datenmeldung nach § 11 erstmals bis zum 15. Mai 2028 vorzunehmen.</w:t>
      </w:r>
    </w:p>
    <w:p>
      <w:r>
        <w:t xml:space="preserve">(5) Hersteller von Feuerwerkskörpern haben die Einwegkunststoffabgabe nach § 12 erstmals für das Kalenderjahr 2027 zu entrichten.</w:t>
      </w:r>
    </w:p>
    <w:p>
      <w:r>
        <w:t xml:space="preserve">(6) Die Festsetzung der Einwegkunststoffabgabe für Feuerwerkskörper nach § 13 Absatz 1 hat erstmals 2028 zu erfolgen.</w:t>
      </w:r>
    </w:p>
    <w:p>
      <w:r>
        <w:rPr>
          <w:color w:val="555555"/>
          <w:sz w:val="17"/>
        </w:rPr>
        <w:t xml:space="preserve">Zitiervorschlag: § 29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