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EWKFondsG — Evaluierung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Die Bundesregierung evaluiert bis zum 31. Dezember 2027 die Wirkung der in diesem Gesetz enthaltenen Regelungen im Hinblick auf die Zielerreichung. Im Rahmen der Evaluierung ist insbesondere zu überprüfen:</w:t>
      </w:r>
    </w:p>
    <w:p>
      <w:pPr>
        <w:ind w:left="420"/>
      </w:pPr>
      <w:r>
        <w:t xml:space="preserve">1. die Entwicklung von nachhaltigen Produkten als Alternative zu den Einwegkunststoffprodukten nach Anlage 1,</w:t>
      </w:r>
    </w:p>
    <w:p>
      <w:pPr>
        <w:ind w:left="420"/>
      </w:pPr>
      <w:r>
        <w:t xml:space="preserve">2. die Verbesserung der Sauberkeit von Städten und Landschaften im Hinblick auf die aus den Einwegkunststoffprodukten nach Anlage 1 entstehenden Abfälle,</w:t>
      </w:r>
    </w:p>
    <w:p>
      <w:pPr>
        <w:ind w:left="420"/>
      </w:pPr>
      <w:r>
        <w:t xml:space="preserve">3. die Entlastung der Allgemeinheit von den bisher zu tragenden Sammlungs-, Reinigungs- und Sensibilisierungskosten,</w:t>
      </w:r>
    </w:p>
    <w:p>
      <w:pPr>
        <w:ind w:left="420"/>
      </w:pPr>
      <w:r>
        <w:t xml:space="preserve">4. die Notwendigkeit einer Erweiterung des Anwendungsbereichs auf weitere Produkte unter Berücksichtigung der Ergebnisse der Überprüfung nach Artikel 15 der Richtlinie (EU) 2019/904.</w:t>
      </w:r>
    </w:p>
    <w:p>
      <w:r>
        <w:rPr>
          <w:color w:val="555555"/>
          <w:sz w:val="17"/>
        </w:rPr>
        <w:t xml:space="preserve">Zitiervorschlag: § 28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