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EWKFondsG — Einziehung</w:t>
      </w:r>
    </w:p>
    <w:p>
      <w:r>
        <w:rPr>
          <w:color w:val="555555"/>
          <w:sz w:val="18"/>
        </w:rPr>
        <w:t xml:space="preserve">Einwegkunststofffondsgesetz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Ist eine Ordnungswidrigkeit nach § 26 Absatz 1 begangen worden, so können Gegenstände eingezogen werden,</w:t>
      </w:r>
    </w:p>
    <w:p>
      <w:pPr>
        <w:ind w:left="420"/>
      </w:pPr>
      <w:r>
        <w:t xml:space="preserve">1. auf die sich die Ordnungswidrigkeit bezieht oder</w:t>
      </w:r>
    </w:p>
    <w:p>
      <w:pPr>
        <w:ind w:left="420"/>
      </w:pPr>
      <w:r>
        <w:t xml:space="preserve">2. die zu ihrer Begehung oder Vorbereitung gebraucht worden sind oder bestimmt gewesen sind.</w:t>
      </w:r>
    </w:p>
    <w:p>
      <w:r>
        <w:t xml:space="preserve">§ 23 des Gesetzes über Ordnungswidrigkeiten ist anzuwenden.</w:t>
      </w:r>
    </w:p>
    <w:p>
      <w:r>
        <w:rPr>
          <w:color w:val="555555"/>
          <w:sz w:val="17"/>
        </w:rPr>
        <w:t xml:space="preserve">Zitiervorschlag: § 27 EWKFondsG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https://recht.nulegal.eu/gesetze/EWKFondsG/27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