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EWKFondsG — Bußgeldvorschriften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7 Absatz 1 Satz 1 sich nicht, nicht richtig, nicht vollständig oder nicht rechtzeitig registrieren lässt,</w:t>
      </w:r>
    </w:p>
    <w:p>
      <w:pPr>
        <w:ind w:left="420"/>
      </w:pPr>
      <w:r>
        <w:t xml:space="preserve">2. entgegen</w:t>
      </w:r>
    </w:p>
    <w:p>
      <w:pPr>
        <w:ind w:left="780"/>
      </w:pPr>
      <w:r>
        <w:t xml:space="preserve">a) § 7 Absatz 1 Satz 2 oder</w:t>
      </w:r>
    </w:p>
    <w:p>
      <w:pPr>
        <w:ind w:left="780"/>
      </w:pPr>
      <w:r>
        <w:t xml:space="preserve">b) § 10 Absatz 2 Satz 5</w:t>
      </w:r>
    </w:p>
    <w:p>
      <w:pPr>
        <w:ind w:left="420"/>
      </w:pPr>
      <w:r>
        <w:t xml:space="preserve">eine Mitteilung nicht, nicht richtig, nicht vollständig oder nicht rechtzeitig macht,</w:t>
      </w:r>
    </w:p>
    <w:p>
      <w:pPr>
        <w:ind w:left="420"/>
      </w:pPr>
      <w:r>
        <w:t xml:space="preserve">3. entgegen § 9 Absatz 1 ein Einwegkunststoffprodukt erstmals auf dem Markt bereitstellt oder verkauft,</w:t>
      </w:r>
    </w:p>
    <w:p>
      <w:pPr>
        <w:ind w:left="420"/>
      </w:pPr>
      <w:r>
        <w:t xml:space="preserve">4. entgegen § 9 Absatz 2 ein Einwegkunststoffprodukt zum Verkauf anbietet,</w:t>
      </w:r>
    </w:p>
    <w:p>
      <w:pPr>
        <w:ind w:left="420"/>
      </w:pPr>
      <w:r>
        <w:t xml:space="preserve">5. entgegen § 9 Absatz 3 das Anbieten eines Einwegkunststoffproduktes ermöglicht,</w:t>
      </w:r>
    </w:p>
    <w:p>
      <w:pPr>
        <w:ind w:left="420"/>
      </w:pPr>
      <w:r>
        <w:t xml:space="preserve">6. entgegen § 9 Absatz 4 eine dort genannte Dienstleistung erbringt,</w:t>
      </w:r>
    </w:p>
    <w:p>
      <w:pPr>
        <w:ind w:left="420"/>
      </w:pPr>
      <w:r>
        <w:t xml:space="preserve">7. entgegen § 10 Absatz 1 Satz 1 oder Absatz 4 einen Bevollmächtigten nicht, nicht richtig oder nicht rechtzeitig beauftragt,</w:t>
      </w:r>
    </w:p>
    <w:p>
      <w:pPr>
        <w:ind w:left="420"/>
      </w:pPr>
      <w:r>
        <w:t xml:space="preserve">8. entgegen § 10 Absatz 2 Satz 1 einen Bevollmächtigten nicht, nicht richtig oder nicht rechtzeitig benennt oder</w:t>
      </w:r>
    </w:p>
    <w:p>
      <w:pPr>
        <w:ind w:left="420"/>
      </w:pPr>
      <w:r>
        <w:t xml:space="preserve">9. entgegen § 11 Absatz 1 Satz 1 eine Meldung nicht, nicht richtig, nicht vollständig oder nicht rechtzeitig macht.</w:t>
      </w:r>
    </w:p>
    <w:p>
      <w:r>
        <w:t xml:space="preserve">(2) Die Ordnungswidrigkeit kann in den Fällen des Absatzes 1 Nummer 1, 2 Buchstabe a und Nummer 3 bis 6 mit einer Geldbuße bis zu einhunderttausend Euro und in den übrigen Fällen mit einer Geldbuße bis zu zehntausend Euro geahndet werden.</w:t>
      </w:r>
    </w:p>
    <w:p>
      <w:r>
        <w:t xml:space="preserve">(3) Verwaltungsbehörde im Sinne des § 36 Absatz 1 Nummer 1 des Gesetzes über Ordnungswidrigkeiten ist das Umweltbundesamt.</w:t>
      </w:r>
    </w:p>
    <w:p>
      <w:r>
        <w:t xml:space="preserve">(4) Auch die im gerichtlichen Verfahren angeordneten Geldbußen und die Geldbeträge, deren Einziehung nach § 29a des Gesetzes über Ordnungswidrigkeiten gerichtlich angeordnet wurde, fließen derjenigen Bundeskasse zu, die auch die der Staatskasse auferlegten Kosten trägt.</w:t>
      </w:r>
    </w:p>
    <w:p>
      <w:r>
        <w:rPr>
          <w:color w:val="555555"/>
          <w:sz w:val="17"/>
        </w:rPr>
        <w:t xml:space="preserve">Zitiervorschlag: § 26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