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EWKFondsG — Anwendungsbereich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Dieses Gesetz regelt die Produktverantwortung der Hersteller von Einwegkunststoffprodukten nach Anlage 1 im Sinne von § 23 Absatz 1 bis 3 des Kreislaufwirtschaftsgesetzes vom 24. Februar 2012 (BGBl. I S. 212), das zuletzt durch Artikel 5 des Gesetzes vom 2. März 2023 (BGBl. 2023 I Nr. 56) geändert worden ist, in der jeweils geltenden Fassung.</w:t>
      </w:r>
    </w:p>
    <w:p>
      <w:r>
        <w:t xml:space="preserve">(2) Soweit dieses Gesetz keine abweichenden Vorschriften enthält, sind das Kreislaufwirtschaftsgesetz und die auf der Grundlage des Kreislaufwirtschaftsgesetzes oder des bis zum 31. Mai 2012 geltenden Kreislaufwirtschafts- und Abfallgesetzes erlassenen Rechtsverordnungen in der jeweils geltenden Fassung anzuwenden. § 62 des Kreislaufwirtschaftsgesetzes gilt entsprechend.</w:t>
      </w:r>
    </w:p>
    <w:p>
      <w:r>
        <w:rPr>
          <w:color w:val="555555"/>
          <w:sz w:val="17"/>
        </w:rPr>
        <w:t xml:space="preserve">Zitiervorschlag: § 2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